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2A4A6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381CF3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381CF3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25CD9BC9" w14:textId="77777777" w:rsidR="00961F4F" w:rsidRPr="00381CF3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D918E9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493E8269" w14:textId="31871D3B" w:rsidR="00462943" w:rsidRPr="005C19EC" w:rsidRDefault="00961F4F" w:rsidP="00462943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TRIGÉSIMA </w:t>
      </w:r>
      <w:r w:rsidR="00462943">
        <w:rPr>
          <w:rFonts w:ascii="Verdana" w:eastAsia="Malgun Gothic" w:hAnsi="Verdana" w:cs="Arial"/>
          <w:b/>
          <w:sz w:val="22"/>
          <w:szCs w:val="22"/>
        </w:rPr>
        <w:t>NONA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Orçamento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Finanças, Controle Externo, Obras, Serviços Públicos e Infraestrutura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8A093E">
        <w:rPr>
          <w:rFonts w:ascii="Verdana" w:eastAsia="Malgun Gothic" w:hAnsi="Verdana" w:cs="Arial"/>
          <w:b/>
          <w:sz w:val="22"/>
          <w:szCs w:val="22"/>
        </w:rPr>
        <w:t>1</w:t>
      </w:r>
      <w:r w:rsidR="00462943">
        <w:rPr>
          <w:rFonts w:ascii="Verdana" w:eastAsia="Malgun Gothic" w:hAnsi="Verdana" w:cs="Arial"/>
          <w:b/>
          <w:sz w:val="22"/>
          <w:szCs w:val="22"/>
        </w:rPr>
        <w:t>7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Pr="008A093E">
        <w:rPr>
          <w:rFonts w:ascii="Verdana" w:eastAsia="Malgun Gothic" w:hAnsi="Verdana" w:cs="Arial"/>
          <w:b/>
          <w:bCs/>
          <w:sz w:val="22"/>
          <w:szCs w:val="22"/>
        </w:rPr>
        <w:t xml:space="preserve">dias do mês de </w:t>
      </w:r>
      <w:r w:rsidR="001B5BF1" w:rsidRPr="008A093E">
        <w:rPr>
          <w:rFonts w:ascii="Verdana" w:eastAsia="Malgun Gothic" w:hAnsi="Verdana" w:cs="Arial"/>
          <w:b/>
          <w:bCs/>
          <w:sz w:val="22"/>
          <w:szCs w:val="22"/>
        </w:rPr>
        <w:t>novembro</w:t>
      </w:r>
      <w:r>
        <w:rPr>
          <w:rFonts w:ascii="Verdana" w:eastAsia="Malgun Gothic" w:hAnsi="Verdana" w:cs="Arial"/>
          <w:sz w:val="22"/>
          <w:szCs w:val="22"/>
        </w:rPr>
        <w:t xml:space="preserve"> d</w:t>
      </w:r>
      <w:r w:rsidR="001505C8">
        <w:rPr>
          <w:rFonts w:ascii="Verdana" w:eastAsia="Malgun Gothic" w:hAnsi="Verdana" w:cs="Arial"/>
          <w:sz w:val="22"/>
          <w:szCs w:val="22"/>
        </w:rPr>
        <w:t>o</w:t>
      </w:r>
      <w:r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>" Luciano de Argôlo"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6601AF">
        <w:rPr>
          <w:rFonts w:ascii="Arial" w:hAnsi="Arial" w:cs="Arial"/>
          <w:b/>
        </w:rPr>
        <w:t>I –</w:t>
      </w:r>
      <w:r w:rsidR="000C2B4F" w:rsidRPr="006601AF">
        <w:rPr>
          <w:rFonts w:ascii="Arial" w:hAnsi="Arial" w:cs="Arial"/>
        </w:rPr>
        <w:t xml:space="preserve"> Apreciação da Ata da Reunião anterior</w:t>
      </w:r>
      <w:r w:rsidR="000C2B4F">
        <w:rPr>
          <w:rFonts w:ascii="Arial" w:hAnsi="Arial" w:cs="Arial"/>
        </w:rPr>
        <w:t xml:space="preserve">, sendo solicitada a dispensa de leitura pelo vereador </w:t>
      </w:r>
      <w:r w:rsidR="000C2B4F" w:rsidRPr="000C2B4F">
        <w:rPr>
          <w:rFonts w:ascii="Arial" w:hAnsi="Arial" w:cs="Arial"/>
        </w:rPr>
        <w:t>Marco Antônio Joaquim Silva para emissão de parecer e voto</w:t>
      </w:r>
      <w:r w:rsidR="00462943">
        <w:rPr>
          <w:rFonts w:ascii="Arial" w:hAnsi="Arial" w:cs="Arial"/>
        </w:rPr>
        <w:t>;</w:t>
      </w:r>
      <w:r w:rsidR="008A093E">
        <w:rPr>
          <w:rFonts w:ascii="Arial" w:hAnsi="Arial" w:cs="Arial"/>
        </w:rPr>
        <w:t xml:space="preserve"> </w:t>
      </w:r>
      <w:r w:rsidR="000F6DA6">
        <w:rPr>
          <w:rFonts w:ascii="Arial" w:hAnsi="Arial" w:cs="Arial"/>
        </w:rPr>
        <w:t xml:space="preserve">II - </w:t>
      </w:r>
      <w:r w:rsidR="000F6DA6" w:rsidRPr="00855A97">
        <w:rPr>
          <w:rFonts w:ascii="Arial" w:hAnsi="Arial" w:cs="Arial"/>
        </w:rPr>
        <w:t xml:space="preserve">Resolução nº. </w:t>
      </w:r>
      <w:r w:rsidR="000F6DA6" w:rsidRPr="00855A97">
        <w:rPr>
          <w:rFonts w:ascii="Arial" w:hAnsi="Arial" w:cs="Arial"/>
          <w:b/>
        </w:rPr>
        <w:t>003</w:t>
      </w:r>
      <w:r w:rsidR="000F6DA6" w:rsidRPr="00855A97">
        <w:rPr>
          <w:rFonts w:ascii="Arial" w:hAnsi="Arial" w:cs="Arial"/>
        </w:rPr>
        <w:t>/</w:t>
      </w:r>
      <w:r w:rsidR="000F6DA6" w:rsidRPr="00855A97">
        <w:rPr>
          <w:rFonts w:ascii="Arial" w:hAnsi="Arial" w:cs="Arial"/>
          <w:b/>
          <w:bCs/>
        </w:rPr>
        <w:t>2025</w:t>
      </w:r>
      <w:r w:rsidR="000F6DA6" w:rsidRPr="00855A97">
        <w:rPr>
          <w:rFonts w:ascii="Arial" w:hAnsi="Arial" w:cs="Arial"/>
        </w:rPr>
        <w:t xml:space="preserve"> - Poder </w:t>
      </w:r>
      <w:r w:rsidR="000F6DA6" w:rsidRPr="00855A97">
        <w:rPr>
          <w:rFonts w:ascii="Arial" w:hAnsi="Arial" w:cs="Arial"/>
          <w:b/>
        </w:rPr>
        <w:t xml:space="preserve">LEGISLATIVO MUNICIPAL- </w:t>
      </w:r>
      <w:r w:rsidR="000F6DA6" w:rsidRPr="00855A97">
        <w:rPr>
          <w:rFonts w:ascii="Arial" w:hAnsi="Arial" w:cs="Arial"/>
        </w:rPr>
        <w:t xml:space="preserve">que dispõe sobre: </w:t>
      </w:r>
      <w:r w:rsidR="000F6DA6" w:rsidRPr="00855A97">
        <w:rPr>
          <w:rFonts w:ascii="Arial" w:hAnsi="Arial" w:cs="Arial"/>
          <w:b/>
        </w:rPr>
        <w:t xml:space="preserve">“Estabelece regras e diretrizes referentes ao credenciamento para fornecimento de bens, e contratação de serviços no âmbito da Câmara Municipal de Rolim de Moura, Estado de Rondônia.”  </w:t>
      </w:r>
      <w:r w:rsidR="000F6DA6" w:rsidRPr="00855A97">
        <w:rPr>
          <w:rFonts w:ascii="Arial" w:hAnsi="Arial" w:cs="Arial"/>
        </w:rPr>
        <w:t xml:space="preserve">Mesa Diretora da Câmara Municipal de Rolim De Moura. Matéria distribuída </w:t>
      </w:r>
      <w:r w:rsidR="000F6DA6">
        <w:rPr>
          <w:rFonts w:ascii="Arial" w:hAnsi="Arial" w:cs="Arial"/>
        </w:rPr>
        <w:t xml:space="preserve">anteriormente </w:t>
      </w:r>
      <w:r w:rsidR="000F6DA6" w:rsidRPr="00855A97">
        <w:rPr>
          <w:rFonts w:ascii="Arial" w:hAnsi="Arial" w:cs="Arial"/>
        </w:rPr>
        <w:t xml:space="preserve">à relatoria do </w:t>
      </w:r>
      <w:r w:rsidR="000F6DA6">
        <w:rPr>
          <w:rFonts w:ascii="Arial" w:hAnsi="Arial" w:cs="Arial"/>
        </w:rPr>
        <w:t>Ederson Andrade de Albuquerque, sendo o parecer apresentado e aprovado</w:t>
      </w:r>
      <w:r w:rsidR="00462943">
        <w:rPr>
          <w:rFonts w:ascii="Arial" w:hAnsi="Arial" w:cs="Arial"/>
        </w:rPr>
        <w:t>;</w:t>
      </w:r>
      <w:r w:rsidR="000F6DA6">
        <w:rPr>
          <w:rFonts w:ascii="Arial" w:hAnsi="Arial" w:cs="Arial"/>
        </w:rPr>
        <w:t xml:space="preserve"> III - </w:t>
      </w:r>
      <w:r w:rsidR="000F6DA6" w:rsidRPr="00A961EA">
        <w:rPr>
          <w:rFonts w:ascii="Arial" w:hAnsi="Arial" w:cs="Arial"/>
        </w:rPr>
        <w:t xml:space="preserve">Apreciação do Projeto de Lei Complementar nº.  </w:t>
      </w:r>
      <w:r w:rsidR="000F6DA6" w:rsidRPr="00A961EA">
        <w:rPr>
          <w:rFonts w:ascii="Arial" w:hAnsi="Arial" w:cs="Arial"/>
          <w:b/>
          <w:bCs/>
        </w:rPr>
        <w:t>11</w:t>
      </w:r>
      <w:r w:rsidR="000F6DA6" w:rsidRPr="00A961EA">
        <w:rPr>
          <w:rFonts w:ascii="Arial" w:hAnsi="Arial" w:cs="Arial"/>
          <w:b/>
        </w:rPr>
        <w:t>/2025</w:t>
      </w:r>
      <w:r w:rsidR="000F6DA6" w:rsidRPr="00A961EA">
        <w:rPr>
          <w:rFonts w:ascii="Arial" w:hAnsi="Arial" w:cs="Arial"/>
        </w:rPr>
        <w:t xml:space="preserve"> - (Mens. 128 PL Executivo 11) - Poder EXECUTIVO MUNICIPAL, que dispõe sobre” </w:t>
      </w:r>
      <w:r w:rsidR="000F6DA6" w:rsidRPr="00A961EA">
        <w:t>autoriza</w:t>
      </w:r>
      <w:r w:rsidR="000F6DA6" w:rsidRPr="00A961EA">
        <w:rPr>
          <w:rFonts w:ascii="Arial" w:hAnsi="Arial" w:cs="Arial"/>
          <w:b/>
          <w:bCs/>
        </w:rPr>
        <w:t xml:space="preserve"> o Poder Público Municipal a conceder isenção do Imposto Predial e Territorial Urbano – IPTU sobre imóveis decorrentes de parcelamento do solo para implantação de Condomínios Urbanísticos."</w:t>
      </w:r>
      <w:r w:rsidR="00462943">
        <w:rPr>
          <w:rFonts w:ascii="Arial" w:hAnsi="Arial" w:cs="Arial"/>
          <w:b/>
          <w:bCs/>
        </w:rPr>
        <w:t xml:space="preserve"> Matéria retirada de pauta; </w:t>
      </w:r>
      <w:r w:rsidR="00462943" w:rsidRPr="006F0637">
        <w:rPr>
          <w:rFonts w:ascii="Arial" w:hAnsi="Arial" w:cs="Arial"/>
        </w:rPr>
        <w:t xml:space="preserve">Apreciação do Projeto de Lei nº.  </w:t>
      </w:r>
      <w:r w:rsidR="00462943" w:rsidRPr="006F0637">
        <w:rPr>
          <w:rFonts w:ascii="Arial" w:hAnsi="Arial" w:cs="Arial"/>
          <w:b/>
        </w:rPr>
        <w:t>183/2025</w:t>
      </w:r>
      <w:r w:rsidR="00462943" w:rsidRPr="006F0637">
        <w:rPr>
          <w:rFonts w:ascii="Arial" w:hAnsi="Arial" w:cs="Arial"/>
        </w:rPr>
        <w:t xml:space="preserve"> - (Mens. 182 PL Executivo 166) - Poder EXECUTIVO MUNICIPAL, que dispõe sobre: </w:t>
      </w:r>
      <w:r w:rsidR="00462943" w:rsidRPr="006F0637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="00462943" w:rsidRPr="006F0637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</w:t>
      </w:r>
      <w:r w:rsidR="00462943">
        <w:rPr>
          <w:rFonts w:ascii="Arial" w:hAnsi="Arial" w:cs="Arial"/>
        </w:rPr>
        <w:t xml:space="preserve">Matéria </w:t>
      </w:r>
      <w:r w:rsidR="00462943">
        <w:rPr>
          <w:rFonts w:ascii="Arial" w:hAnsi="Arial" w:cs="Arial"/>
        </w:rPr>
        <w:t xml:space="preserve">foi distribuída à relatoria do vereador Ederson Andrade de Albuquerque; </w:t>
      </w:r>
      <w:r w:rsidR="00462943" w:rsidRPr="006F0637">
        <w:rPr>
          <w:rFonts w:ascii="Arial" w:hAnsi="Arial" w:cs="Arial"/>
          <w:b/>
          <w:bCs/>
        </w:rPr>
        <w:t>VIII -</w:t>
      </w:r>
      <w:r w:rsidR="00462943" w:rsidRPr="006F0637">
        <w:rPr>
          <w:rFonts w:ascii="Arial" w:hAnsi="Arial" w:cs="Arial"/>
        </w:rPr>
        <w:t xml:space="preserve"> Apreciação do Projeto de Lei nº.  </w:t>
      </w:r>
      <w:r w:rsidR="00462943" w:rsidRPr="006F0637">
        <w:rPr>
          <w:rFonts w:ascii="Arial" w:hAnsi="Arial" w:cs="Arial"/>
          <w:b/>
          <w:bCs/>
        </w:rPr>
        <w:t>1</w:t>
      </w:r>
      <w:r w:rsidR="00462943" w:rsidRPr="006F0637">
        <w:rPr>
          <w:rFonts w:ascii="Arial" w:hAnsi="Arial" w:cs="Arial"/>
          <w:b/>
        </w:rPr>
        <w:t>85/2025</w:t>
      </w:r>
      <w:r w:rsidR="00462943" w:rsidRPr="006F0637">
        <w:rPr>
          <w:rFonts w:ascii="Arial" w:hAnsi="Arial" w:cs="Arial"/>
        </w:rPr>
        <w:t xml:space="preserve"> - (Mens. 185 PL Executivo 169) - Poder EXECUTIVO MUNICIPAL, que dispõe sobre</w:t>
      </w:r>
      <w:r w:rsidR="00462943" w:rsidRPr="006F0637">
        <w:t xml:space="preserve"> </w:t>
      </w:r>
      <w:r w:rsidR="00462943" w:rsidRPr="006F0637">
        <w:rPr>
          <w:rFonts w:ascii="Arial" w:hAnsi="Arial" w:cs="Arial"/>
          <w:b/>
          <w:bCs/>
        </w:rPr>
        <w:t>“Autoriza a alteração orçamentária decorrente de reformulação administrativa mediante transposição ao orçamento do presente exercício financeiro, no valor deR$241.445,16”.</w:t>
      </w:r>
      <w:r w:rsidR="00462943" w:rsidRPr="006F0637">
        <w:rPr>
          <w:rFonts w:ascii="Arial" w:hAnsi="Arial" w:cs="Arial"/>
        </w:rPr>
        <w:t xml:space="preserve"> Finalidade: custear despesas com cumprimento de sentença. </w:t>
      </w:r>
      <w:r w:rsidR="00462943">
        <w:rPr>
          <w:rFonts w:ascii="Arial" w:hAnsi="Arial" w:cs="Arial"/>
        </w:rPr>
        <w:t xml:space="preserve">Matéria distribuída à relatoria do vereador Marco Antônio Joaquim Silva; </w:t>
      </w:r>
      <w:r w:rsidR="00462943" w:rsidRPr="006200BC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7E1DC2F1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56CC9EB8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0D6077F3" w14:textId="02F1ECC3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63FC5AA9" w14:textId="48E65FA5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2F808840" w14:textId="632EF75C" w:rsidR="000F6DA6" w:rsidRDefault="00462943" w:rsidP="000F6DA6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FB7945E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2554782B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48377972" w14:textId="102A618B" w:rsidR="000F6DA6" w:rsidRDefault="000F6DA6" w:rsidP="000F6DA6">
      <w:pPr>
        <w:ind w:firstLine="851"/>
        <w:jc w:val="both"/>
        <w:rPr>
          <w:rFonts w:ascii="Arial" w:hAnsi="Arial" w:cs="Arial"/>
        </w:rPr>
      </w:pPr>
    </w:p>
    <w:p w14:paraId="61F90407" w14:textId="133AE1B5" w:rsidR="001377D9" w:rsidRDefault="001377D9" w:rsidP="000F6DA6">
      <w:pPr>
        <w:ind w:firstLine="567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74B9E"/>
    <w:rsid w:val="000C2B4F"/>
    <w:rsid w:val="000F6DA6"/>
    <w:rsid w:val="001377D9"/>
    <w:rsid w:val="001505C8"/>
    <w:rsid w:val="0019510B"/>
    <w:rsid w:val="001B5BF1"/>
    <w:rsid w:val="002024DC"/>
    <w:rsid w:val="00355868"/>
    <w:rsid w:val="00376250"/>
    <w:rsid w:val="003E4FB9"/>
    <w:rsid w:val="00462943"/>
    <w:rsid w:val="00470064"/>
    <w:rsid w:val="004B093C"/>
    <w:rsid w:val="004B6A4E"/>
    <w:rsid w:val="00543606"/>
    <w:rsid w:val="00581712"/>
    <w:rsid w:val="005C4A4F"/>
    <w:rsid w:val="006048CD"/>
    <w:rsid w:val="006246B7"/>
    <w:rsid w:val="006A2D99"/>
    <w:rsid w:val="007449A9"/>
    <w:rsid w:val="007517A3"/>
    <w:rsid w:val="00764E54"/>
    <w:rsid w:val="00796C4D"/>
    <w:rsid w:val="007C531F"/>
    <w:rsid w:val="008366B9"/>
    <w:rsid w:val="008A093E"/>
    <w:rsid w:val="008A6A4B"/>
    <w:rsid w:val="008E0484"/>
    <w:rsid w:val="00902F4F"/>
    <w:rsid w:val="00943217"/>
    <w:rsid w:val="00950ADB"/>
    <w:rsid w:val="00961F4F"/>
    <w:rsid w:val="0096617C"/>
    <w:rsid w:val="00A92F53"/>
    <w:rsid w:val="00B348B2"/>
    <w:rsid w:val="00BA0E10"/>
    <w:rsid w:val="00C4402E"/>
    <w:rsid w:val="00C61338"/>
    <w:rsid w:val="00CF4034"/>
    <w:rsid w:val="00D42915"/>
    <w:rsid w:val="00DC4113"/>
    <w:rsid w:val="00E2639A"/>
    <w:rsid w:val="00EC1F0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4</cp:revision>
  <dcterms:created xsi:type="dcterms:W3CDTF">2025-11-17T14:50:00Z</dcterms:created>
  <dcterms:modified xsi:type="dcterms:W3CDTF">2025-11-18T11:41:00Z</dcterms:modified>
</cp:coreProperties>
</file>