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3E" w:rsidRPr="00651E5D" w:rsidRDefault="0091413E" w:rsidP="0091413E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Ata da Trigésima Segunda</w:t>
      </w:r>
      <w:r w:rsidRPr="00070AB2">
        <w:rPr>
          <w:rFonts w:ascii="Times New Roman" w:hAnsi="Times New Roman"/>
          <w:sz w:val="24"/>
          <w:szCs w:val="24"/>
        </w:rPr>
        <w:t xml:space="preserve"> Reunião Ordinária do Primeiro Período Legislativo da Terceira Sessão Legislativa da Nona Legislatura da Comissão Permanente de Ação e Bem-Estar Social; Educação, Cultura, Desporto e Lazer, Saúde, Meio Ambiente, Agricultura e Pecuária</w:t>
      </w:r>
      <w:r>
        <w:rPr>
          <w:rFonts w:ascii="Times New Roman" w:hAnsi="Times New Roman"/>
          <w:sz w:val="24"/>
          <w:szCs w:val="24"/>
        </w:rPr>
        <w:t>, realizada aos sete(07) dias do mês de outubro</w:t>
      </w:r>
      <w:r w:rsidRPr="00070AB2">
        <w:rPr>
          <w:rFonts w:ascii="Times New Roman" w:hAnsi="Times New Roman"/>
          <w:sz w:val="24"/>
          <w:szCs w:val="24"/>
        </w:rPr>
        <w:t>(0</w:t>
      </w:r>
      <w:r>
        <w:rPr>
          <w:rFonts w:ascii="Times New Roman" w:hAnsi="Times New Roman"/>
          <w:sz w:val="24"/>
          <w:szCs w:val="24"/>
        </w:rPr>
        <w:t>9</w:t>
      </w:r>
      <w:r w:rsidRPr="00070AB2">
        <w:rPr>
          <w:rFonts w:ascii="Times New Roman" w:hAnsi="Times New Roman"/>
          <w:sz w:val="24"/>
          <w:szCs w:val="24"/>
        </w:rPr>
        <w:t xml:space="preserve">) do ano de dois mil e dezenove (2019), às 10h00min, na Assessoria das Comissões Permanentes, sita à Avenida João Pessoa, 4463., sob a Presidência do Vereador </w:t>
      </w:r>
      <w:r w:rsidRPr="00070AB2">
        <w:rPr>
          <w:rFonts w:ascii="Times New Roman" w:hAnsi="Times New Roman"/>
          <w:b/>
          <w:sz w:val="24"/>
          <w:szCs w:val="24"/>
        </w:rPr>
        <w:t>FRANCISCO VENTURINI,</w:t>
      </w:r>
      <w:r w:rsidRPr="00070A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0AB2">
        <w:rPr>
          <w:rFonts w:ascii="Times New Roman" w:hAnsi="Times New Roman"/>
          <w:sz w:val="24"/>
          <w:szCs w:val="24"/>
        </w:rPr>
        <w:t>e a presença do</w:t>
      </w:r>
      <w:r>
        <w:rPr>
          <w:rFonts w:ascii="Times New Roman" w:hAnsi="Times New Roman"/>
          <w:sz w:val="24"/>
          <w:szCs w:val="24"/>
        </w:rPr>
        <w:t>s</w:t>
      </w:r>
      <w:r w:rsidRPr="00070AB2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es</w:t>
      </w:r>
      <w:r w:rsidRPr="00070AB2">
        <w:rPr>
          <w:rFonts w:ascii="Times New Roman" w:hAnsi="Times New Roman"/>
          <w:sz w:val="24"/>
          <w:szCs w:val="24"/>
        </w:rPr>
        <w:t xml:space="preserve"> Vereador</w:t>
      </w:r>
      <w:r>
        <w:rPr>
          <w:rFonts w:ascii="Times New Roman" w:hAnsi="Times New Roman"/>
          <w:sz w:val="24"/>
          <w:szCs w:val="24"/>
        </w:rPr>
        <w:t>es</w:t>
      </w:r>
      <w:r w:rsidRPr="00070AB2">
        <w:rPr>
          <w:rFonts w:ascii="Times New Roman" w:hAnsi="Times New Roman"/>
          <w:sz w:val="24"/>
          <w:szCs w:val="24"/>
        </w:rPr>
        <w:t xml:space="preserve">: </w:t>
      </w:r>
      <w:r w:rsidRPr="00070AB2">
        <w:rPr>
          <w:rFonts w:ascii="Times New Roman" w:hAnsi="Times New Roman"/>
          <w:b/>
          <w:sz w:val="24"/>
          <w:szCs w:val="24"/>
        </w:rPr>
        <w:t xml:space="preserve">ALDAIR JÚLIO PEREIRA, </w:t>
      </w:r>
      <w:r>
        <w:rPr>
          <w:rFonts w:ascii="Times New Roman" w:hAnsi="Times New Roman"/>
          <w:sz w:val="24"/>
          <w:szCs w:val="24"/>
        </w:rPr>
        <w:t xml:space="preserve">Relator e </w:t>
      </w:r>
      <w:r w:rsidRPr="00070AB2">
        <w:rPr>
          <w:rFonts w:ascii="Times New Roman" w:hAnsi="Times New Roman"/>
          <w:b/>
          <w:sz w:val="24"/>
          <w:szCs w:val="24"/>
        </w:rPr>
        <w:t xml:space="preserve">LAUDECI PEREIRA DE MENEZES, </w:t>
      </w:r>
      <w:r w:rsidRPr="00070AB2">
        <w:rPr>
          <w:rFonts w:ascii="Times New Roman" w:hAnsi="Times New Roman"/>
          <w:sz w:val="24"/>
          <w:szCs w:val="24"/>
        </w:rPr>
        <w:t>Secr</w:t>
      </w:r>
      <w:r>
        <w:rPr>
          <w:rFonts w:ascii="Times New Roman" w:hAnsi="Times New Roman"/>
          <w:sz w:val="24"/>
          <w:szCs w:val="24"/>
        </w:rPr>
        <w:t>etária</w:t>
      </w:r>
      <w:r w:rsidRPr="00070AB2">
        <w:rPr>
          <w:rFonts w:ascii="Times New Roman" w:hAnsi="Times New Roman"/>
          <w:sz w:val="24"/>
          <w:szCs w:val="24"/>
        </w:rPr>
        <w:t>.</w:t>
      </w:r>
      <w:r w:rsidRPr="00070AB2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70027D">
        <w:rPr>
          <w:rFonts w:ascii="Times New Roman" w:hAnsi="Times New Roman"/>
          <w:sz w:val="24"/>
          <w:szCs w:val="24"/>
        </w:rPr>
        <w:t xml:space="preserve">Constatada a existência legal de Quórum, e sob a proteção de Deus, o Senhor Presidente iniciou os trabalhos de hoje,  procedendo a leitura da Ordem do Dia, que constou do seguinte: </w:t>
      </w:r>
      <w:r w:rsidRPr="0070027D">
        <w:rPr>
          <w:rFonts w:ascii="Times New Roman" w:hAnsi="Times New Roman"/>
          <w:b/>
          <w:sz w:val="24"/>
          <w:szCs w:val="24"/>
        </w:rPr>
        <w:t>ORDEM DO DIA</w:t>
      </w:r>
      <w:r w:rsidRPr="0070027D">
        <w:rPr>
          <w:rFonts w:ascii="Times New Roman" w:hAnsi="Times New Roman"/>
          <w:sz w:val="24"/>
          <w:szCs w:val="24"/>
        </w:rPr>
        <w:t xml:space="preserve"> – </w:t>
      </w:r>
      <w:r w:rsidRPr="0070027D">
        <w:rPr>
          <w:rFonts w:ascii="Times New Roman" w:hAnsi="Times New Roman"/>
          <w:b/>
          <w:sz w:val="24"/>
          <w:szCs w:val="24"/>
        </w:rPr>
        <w:t>I</w:t>
      </w:r>
      <w:r w:rsidRPr="0070027D">
        <w:rPr>
          <w:rFonts w:ascii="Times New Roman" w:hAnsi="Times New Roman"/>
          <w:sz w:val="24"/>
          <w:szCs w:val="24"/>
        </w:rPr>
        <w:t xml:space="preserve"> – Apreciação da Ata da Reunião anterior;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BEC">
        <w:rPr>
          <w:rFonts w:ascii="Times New Roman" w:hAnsi="Times New Roman"/>
          <w:b/>
          <w:bCs/>
          <w:sz w:val="24"/>
          <w:szCs w:val="24"/>
        </w:rPr>
        <w:t>II</w:t>
      </w:r>
      <w:r w:rsidRPr="00435BEC">
        <w:rPr>
          <w:rFonts w:ascii="Times New Roman" w:hAnsi="Times New Roman"/>
          <w:bCs/>
          <w:sz w:val="24"/>
          <w:szCs w:val="24"/>
        </w:rPr>
        <w:t xml:space="preserve"> – Apreciação do </w:t>
      </w:r>
      <w:r>
        <w:rPr>
          <w:rFonts w:ascii="Times New Roman" w:hAnsi="Times New Roman"/>
          <w:bCs/>
          <w:sz w:val="24"/>
          <w:szCs w:val="24"/>
        </w:rPr>
        <w:t xml:space="preserve">Projeto de Lei nº 088/2019 SUBSTITUTIVO (Mens. 104 PL </w:t>
      </w:r>
      <w:proofErr w:type="spellStart"/>
      <w:r>
        <w:rPr>
          <w:rFonts w:ascii="Times New Roman" w:hAnsi="Times New Roman"/>
          <w:bCs/>
          <w:sz w:val="24"/>
          <w:szCs w:val="24"/>
        </w:rPr>
        <w:t>Exec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80) – </w:t>
      </w:r>
      <w:r w:rsidRPr="004432C6">
        <w:rPr>
          <w:rFonts w:ascii="Times New Roman" w:hAnsi="Times New Roman"/>
          <w:b/>
          <w:bCs/>
          <w:sz w:val="24"/>
          <w:szCs w:val="24"/>
        </w:rPr>
        <w:t>EXECUTIVO MUNICIPAL</w:t>
      </w:r>
      <w:r>
        <w:rPr>
          <w:rFonts w:ascii="Times New Roman" w:hAnsi="Times New Roman"/>
          <w:bCs/>
          <w:sz w:val="24"/>
          <w:szCs w:val="24"/>
        </w:rPr>
        <w:t>, que dispõe sobre:  “</w:t>
      </w:r>
      <w:r w:rsidRPr="004432C6">
        <w:rPr>
          <w:rFonts w:ascii="Times New Roman" w:hAnsi="Times New Roman"/>
          <w:b/>
          <w:bCs/>
          <w:i/>
          <w:sz w:val="24"/>
          <w:szCs w:val="24"/>
        </w:rPr>
        <w:t>Dispõe sobre a anistia de multas e descontos de juros e correção monetária para pagamento de créditos de natureza tributária e extra fiscal, constituídos até 31 de dezembro de 2018</w:t>
      </w:r>
      <w:r>
        <w:rPr>
          <w:rFonts w:ascii="Times New Roman" w:hAnsi="Times New Roman"/>
          <w:bCs/>
          <w:sz w:val="24"/>
          <w:szCs w:val="24"/>
        </w:rPr>
        <w:t xml:space="preserve">”; </w:t>
      </w:r>
      <w:r w:rsidRPr="00435BEC">
        <w:rPr>
          <w:rFonts w:ascii="Times New Roman" w:hAnsi="Times New Roman"/>
          <w:b/>
          <w:bCs/>
          <w:sz w:val="24"/>
          <w:szCs w:val="24"/>
        </w:rPr>
        <w:t>III</w:t>
      </w:r>
      <w:r w:rsidRPr="00435BEC">
        <w:rPr>
          <w:rFonts w:ascii="Times New Roman" w:hAnsi="Times New Roman"/>
          <w:bCs/>
          <w:sz w:val="24"/>
          <w:szCs w:val="24"/>
        </w:rPr>
        <w:t xml:space="preserve"> – Apr</w:t>
      </w:r>
      <w:r>
        <w:rPr>
          <w:rFonts w:ascii="Times New Roman" w:hAnsi="Times New Roman"/>
          <w:bCs/>
          <w:sz w:val="24"/>
          <w:szCs w:val="24"/>
        </w:rPr>
        <w:t xml:space="preserve">eciação do Projeto de Lei nº 091/2019 – (Mens. 101 PL </w:t>
      </w:r>
      <w:proofErr w:type="spellStart"/>
      <w:r>
        <w:rPr>
          <w:rFonts w:ascii="Times New Roman" w:hAnsi="Times New Roman"/>
          <w:bCs/>
          <w:sz w:val="24"/>
          <w:szCs w:val="24"/>
        </w:rPr>
        <w:t>Exec</w:t>
      </w:r>
      <w:proofErr w:type="spellEnd"/>
      <w:r>
        <w:rPr>
          <w:rFonts w:ascii="Times New Roman" w:hAnsi="Times New Roman"/>
          <w:bCs/>
          <w:sz w:val="24"/>
          <w:szCs w:val="24"/>
        </w:rPr>
        <w:t>. 77</w:t>
      </w:r>
      <w:r w:rsidRPr="00435BEC">
        <w:rPr>
          <w:rFonts w:ascii="Times New Roman" w:hAnsi="Times New Roman"/>
          <w:bCs/>
          <w:sz w:val="24"/>
          <w:szCs w:val="24"/>
        </w:rPr>
        <w:t>),</w:t>
      </w:r>
      <w:r>
        <w:rPr>
          <w:rFonts w:ascii="Times New Roman" w:hAnsi="Times New Roman"/>
          <w:bCs/>
          <w:sz w:val="24"/>
          <w:szCs w:val="24"/>
        </w:rPr>
        <w:t xml:space="preserve"> Poder Executivo Municipal, que dispõe sobre: “</w:t>
      </w:r>
      <w:r w:rsidRPr="004432C6">
        <w:rPr>
          <w:rFonts w:ascii="Times New Roman" w:hAnsi="Times New Roman"/>
          <w:b/>
          <w:bCs/>
          <w:i/>
          <w:sz w:val="24"/>
          <w:szCs w:val="24"/>
        </w:rPr>
        <w:t>Autoriza abertura de crédito adicional especial por anulação de dotação no valor de R$ 9.710,00”.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432C6">
        <w:rPr>
          <w:rFonts w:ascii="Times New Roman" w:hAnsi="Times New Roman"/>
          <w:bCs/>
          <w:i/>
          <w:sz w:val="24"/>
          <w:szCs w:val="24"/>
        </w:rPr>
        <w:t>Secretaria Municipal de Agricultura aquisição de veículo tipo Pick-up – convênio 243/PGE/2017 – contrapartida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435BEC">
        <w:rPr>
          <w:rFonts w:ascii="Times New Roman" w:hAnsi="Times New Roman"/>
          <w:b/>
          <w:bCs/>
          <w:sz w:val="24"/>
          <w:szCs w:val="24"/>
        </w:rPr>
        <w:t>IV</w:t>
      </w:r>
      <w:r w:rsidRPr="00435BEC">
        <w:rPr>
          <w:rFonts w:ascii="Times New Roman" w:hAnsi="Times New Roman"/>
          <w:bCs/>
          <w:sz w:val="24"/>
          <w:szCs w:val="24"/>
        </w:rPr>
        <w:t xml:space="preserve"> – Apr</w:t>
      </w:r>
      <w:r>
        <w:rPr>
          <w:rFonts w:ascii="Times New Roman" w:hAnsi="Times New Roman"/>
          <w:bCs/>
          <w:sz w:val="24"/>
          <w:szCs w:val="24"/>
        </w:rPr>
        <w:t xml:space="preserve">eciação do Projeto de Lei nº 093/2019 (Mens. 103 PL </w:t>
      </w:r>
      <w:proofErr w:type="spellStart"/>
      <w:r>
        <w:rPr>
          <w:rFonts w:ascii="Times New Roman" w:hAnsi="Times New Roman"/>
          <w:bCs/>
          <w:sz w:val="24"/>
          <w:szCs w:val="24"/>
        </w:rPr>
        <w:t>Exec</w:t>
      </w:r>
      <w:proofErr w:type="spellEnd"/>
      <w:r>
        <w:rPr>
          <w:rFonts w:ascii="Times New Roman" w:hAnsi="Times New Roman"/>
          <w:bCs/>
          <w:sz w:val="24"/>
          <w:szCs w:val="24"/>
        </w:rPr>
        <w:t>. 79</w:t>
      </w:r>
      <w:r w:rsidRPr="00435BEC">
        <w:rPr>
          <w:rFonts w:ascii="Times New Roman" w:hAnsi="Times New Roman"/>
          <w:bCs/>
          <w:sz w:val="24"/>
          <w:szCs w:val="24"/>
        </w:rPr>
        <w:t>) – EXECUTIVO MUNICIPAL, que dispõe sobre: “</w:t>
      </w:r>
      <w:r w:rsidRPr="004432C6">
        <w:rPr>
          <w:rFonts w:ascii="Times New Roman" w:hAnsi="Times New Roman"/>
          <w:b/>
          <w:bCs/>
          <w:i/>
          <w:sz w:val="24"/>
          <w:szCs w:val="24"/>
        </w:rPr>
        <w:t>Autoriza abertura de crédito adicional especial de arrecadação de recursos vinculados a receita no valor de R$ 250.000,00 e autoriza a abertura de crédito adicional especial por anulação de dotação no valor de R$ 5.000,00</w:t>
      </w:r>
      <w:r>
        <w:rPr>
          <w:rFonts w:ascii="Times New Roman" w:hAnsi="Times New Roman"/>
          <w:bCs/>
          <w:sz w:val="24"/>
          <w:szCs w:val="24"/>
        </w:rPr>
        <w:t xml:space="preserve">”. </w:t>
      </w:r>
      <w:r w:rsidRPr="004432C6">
        <w:rPr>
          <w:rFonts w:ascii="Times New Roman" w:hAnsi="Times New Roman"/>
          <w:bCs/>
          <w:i/>
          <w:sz w:val="24"/>
          <w:szCs w:val="24"/>
        </w:rPr>
        <w:t xml:space="preserve">Secretaria Municipal de Obras e Instalações – Construção de Praça (Avenida 25 de Agosto entre as Ruas Ouro Preto e  Urupá) convênio </w:t>
      </w:r>
      <w:proofErr w:type="spellStart"/>
      <w:r w:rsidRPr="004432C6">
        <w:rPr>
          <w:rFonts w:ascii="Times New Roman" w:hAnsi="Times New Roman"/>
          <w:bCs/>
          <w:i/>
          <w:sz w:val="24"/>
          <w:szCs w:val="24"/>
        </w:rPr>
        <w:t>Siconv</w:t>
      </w:r>
      <w:proofErr w:type="spellEnd"/>
      <w:r w:rsidRPr="004432C6">
        <w:rPr>
          <w:rFonts w:ascii="Times New Roman" w:hAnsi="Times New Roman"/>
          <w:bCs/>
          <w:i/>
          <w:sz w:val="24"/>
          <w:szCs w:val="24"/>
        </w:rPr>
        <w:t xml:space="preserve"> nº 864166/2018-DPCN;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35BEC">
        <w:rPr>
          <w:rFonts w:ascii="Times New Roman" w:hAnsi="Times New Roman"/>
          <w:b/>
          <w:bCs/>
          <w:sz w:val="24"/>
          <w:szCs w:val="24"/>
        </w:rPr>
        <w:t>V</w:t>
      </w:r>
      <w:r w:rsidRPr="00435BEC">
        <w:rPr>
          <w:rFonts w:ascii="Times New Roman" w:hAnsi="Times New Roman"/>
          <w:bCs/>
          <w:sz w:val="24"/>
          <w:szCs w:val="24"/>
        </w:rPr>
        <w:t xml:space="preserve"> – Apr</w:t>
      </w:r>
      <w:r>
        <w:rPr>
          <w:rFonts w:ascii="Times New Roman" w:hAnsi="Times New Roman"/>
          <w:bCs/>
          <w:sz w:val="24"/>
          <w:szCs w:val="24"/>
        </w:rPr>
        <w:t xml:space="preserve">eciação do Projeto de Lei nº 099/2019 (Mens. 111 PL </w:t>
      </w:r>
      <w:proofErr w:type="spellStart"/>
      <w:r>
        <w:rPr>
          <w:rFonts w:ascii="Times New Roman" w:hAnsi="Times New Roman"/>
          <w:bCs/>
          <w:sz w:val="24"/>
          <w:szCs w:val="24"/>
        </w:rPr>
        <w:t>Exec</w:t>
      </w:r>
      <w:proofErr w:type="spellEnd"/>
      <w:r>
        <w:rPr>
          <w:rFonts w:ascii="Times New Roman" w:hAnsi="Times New Roman"/>
          <w:bCs/>
          <w:sz w:val="24"/>
          <w:szCs w:val="24"/>
        </w:rPr>
        <w:t>. 87</w:t>
      </w:r>
      <w:r w:rsidRPr="00435BEC">
        <w:rPr>
          <w:rFonts w:ascii="Times New Roman" w:hAnsi="Times New Roman"/>
          <w:bCs/>
          <w:sz w:val="24"/>
          <w:szCs w:val="24"/>
        </w:rPr>
        <w:t>) – EXECUTIVO MUNICIPAL, que dispõe sobre: “</w:t>
      </w:r>
      <w:r w:rsidRPr="004432C6">
        <w:rPr>
          <w:rFonts w:ascii="Times New Roman" w:hAnsi="Times New Roman"/>
          <w:b/>
          <w:bCs/>
          <w:i/>
          <w:sz w:val="24"/>
          <w:szCs w:val="24"/>
        </w:rPr>
        <w:t>Autoriza abertura de crédito adicional suplementar por superávit financeiro no valor de R$ 116.672,42</w:t>
      </w:r>
      <w:r>
        <w:rPr>
          <w:rFonts w:ascii="Times New Roman" w:hAnsi="Times New Roman"/>
          <w:bCs/>
          <w:sz w:val="24"/>
          <w:szCs w:val="24"/>
        </w:rPr>
        <w:t xml:space="preserve">”. </w:t>
      </w:r>
      <w:r w:rsidRPr="004432C6">
        <w:rPr>
          <w:rFonts w:ascii="Times New Roman" w:hAnsi="Times New Roman"/>
          <w:bCs/>
          <w:i/>
          <w:sz w:val="24"/>
          <w:szCs w:val="24"/>
        </w:rPr>
        <w:t>Secretaria Municipal de Obras, Serviços Públicos e Instalações – aquisição de implementos como varredora mecânica/recursos leilão;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35BEC">
        <w:rPr>
          <w:rFonts w:ascii="Times New Roman" w:hAnsi="Times New Roman"/>
          <w:b/>
          <w:bCs/>
          <w:sz w:val="24"/>
          <w:szCs w:val="24"/>
        </w:rPr>
        <w:t xml:space="preserve">VI </w:t>
      </w:r>
      <w:r w:rsidRPr="00435BEC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 xml:space="preserve">Apreciação do Projeto de Lei nº 112/2019 – (Mens. 121 PL </w:t>
      </w:r>
      <w:proofErr w:type="spellStart"/>
      <w:r>
        <w:rPr>
          <w:rFonts w:ascii="Times New Roman" w:hAnsi="Times New Roman"/>
          <w:bCs/>
          <w:sz w:val="24"/>
          <w:szCs w:val="24"/>
        </w:rPr>
        <w:t>Exec</w:t>
      </w:r>
      <w:proofErr w:type="spellEnd"/>
      <w:r>
        <w:rPr>
          <w:rFonts w:ascii="Times New Roman" w:hAnsi="Times New Roman"/>
          <w:bCs/>
          <w:sz w:val="24"/>
          <w:szCs w:val="24"/>
        </w:rPr>
        <w:t>. 97) – Poder EXECUTIVO MUNICIPAL, que dispõe sobre: “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Autoriza abertura de crédito adicional por excesso de arrecadação de recursos vinculados a receita no valor de R$ 100.000,00 e autoriza abertura de crédito adicional especial por anulação de dotação no </w:t>
      </w:r>
      <w:r>
        <w:rPr>
          <w:rFonts w:ascii="Times New Roman" w:hAnsi="Times New Roman"/>
          <w:b/>
          <w:bCs/>
          <w:i/>
          <w:sz w:val="24"/>
          <w:szCs w:val="24"/>
        </w:rPr>
        <w:lastRenderedPageBreak/>
        <w:t>valor de R$ 20.618,58</w:t>
      </w:r>
      <w:r>
        <w:rPr>
          <w:rFonts w:ascii="Times New Roman" w:hAnsi="Times New Roman"/>
          <w:bCs/>
          <w:sz w:val="24"/>
          <w:szCs w:val="24"/>
        </w:rPr>
        <w:t xml:space="preserve">”, </w:t>
      </w:r>
      <w:r w:rsidRPr="00B2007F">
        <w:rPr>
          <w:rFonts w:ascii="Times New Roman" w:hAnsi="Times New Roman"/>
          <w:bCs/>
          <w:i/>
          <w:sz w:val="24"/>
          <w:szCs w:val="24"/>
        </w:rPr>
        <w:t xml:space="preserve">Secretaria Municipal de Obras (pavimentação em </w:t>
      </w:r>
      <w:proofErr w:type="spellStart"/>
      <w:r w:rsidRPr="00B2007F">
        <w:rPr>
          <w:rFonts w:ascii="Times New Roman" w:hAnsi="Times New Roman"/>
          <w:bCs/>
          <w:i/>
          <w:sz w:val="24"/>
          <w:szCs w:val="24"/>
        </w:rPr>
        <w:t>bloquetes</w:t>
      </w:r>
      <w:proofErr w:type="spellEnd"/>
      <w:r w:rsidRPr="00B2007F">
        <w:rPr>
          <w:rFonts w:ascii="Times New Roman" w:hAnsi="Times New Roman"/>
          <w:bCs/>
          <w:i/>
          <w:sz w:val="24"/>
          <w:szCs w:val="24"/>
        </w:rPr>
        <w:t xml:space="preserve"> para espaço de feira livre/Bairro Cidade Alta</w:t>
      </w:r>
      <w:r>
        <w:rPr>
          <w:rFonts w:ascii="Times New Roman" w:hAnsi="Times New Roman"/>
          <w:b/>
          <w:bCs/>
          <w:i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>
        <w:rPr>
          <w:rFonts w:ascii="Times New Roman" w:hAnsi="Times New Roman"/>
          <w:b/>
          <w:bCs/>
          <w:sz w:val="24"/>
          <w:szCs w:val="24"/>
        </w:rPr>
        <w:t>VII</w:t>
      </w:r>
      <w:r w:rsidRPr="00435BEC">
        <w:rPr>
          <w:rFonts w:ascii="Times New Roman" w:hAnsi="Times New Roman"/>
          <w:bCs/>
          <w:sz w:val="24"/>
          <w:szCs w:val="24"/>
        </w:rPr>
        <w:t xml:space="preserve"> – Apr</w:t>
      </w:r>
      <w:r>
        <w:rPr>
          <w:rFonts w:ascii="Times New Roman" w:hAnsi="Times New Roman"/>
          <w:bCs/>
          <w:sz w:val="24"/>
          <w:szCs w:val="24"/>
        </w:rPr>
        <w:t xml:space="preserve">eciação do Projeto de Lei Complementar   nº 029/2019 (Mens. 99 PLC </w:t>
      </w:r>
      <w:proofErr w:type="spellStart"/>
      <w:r>
        <w:rPr>
          <w:rFonts w:ascii="Times New Roman" w:hAnsi="Times New Roman"/>
          <w:bCs/>
          <w:sz w:val="24"/>
          <w:szCs w:val="24"/>
        </w:rPr>
        <w:t>Exec</w:t>
      </w:r>
      <w:proofErr w:type="spellEnd"/>
      <w:r>
        <w:rPr>
          <w:rFonts w:ascii="Times New Roman" w:hAnsi="Times New Roman"/>
          <w:bCs/>
          <w:sz w:val="24"/>
          <w:szCs w:val="24"/>
        </w:rPr>
        <w:t>. 25) – EXECUTIVO MUNICIPAL, que dispõe sobre: “</w:t>
      </w:r>
      <w:r>
        <w:rPr>
          <w:rFonts w:ascii="Times New Roman" w:hAnsi="Times New Roman"/>
          <w:b/>
          <w:bCs/>
          <w:i/>
          <w:sz w:val="24"/>
          <w:szCs w:val="24"/>
        </w:rPr>
        <w:t>Dispõe sobre a revisão da Lei C</w:t>
      </w:r>
      <w:r w:rsidRPr="004432C6">
        <w:rPr>
          <w:rFonts w:ascii="Times New Roman" w:hAnsi="Times New Roman"/>
          <w:b/>
          <w:bCs/>
          <w:i/>
          <w:sz w:val="24"/>
          <w:szCs w:val="24"/>
        </w:rPr>
        <w:t xml:space="preserve">omplementar </w:t>
      </w:r>
      <w:r>
        <w:rPr>
          <w:rFonts w:ascii="Times New Roman" w:hAnsi="Times New Roman"/>
          <w:b/>
          <w:bCs/>
          <w:i/>
          <w:sz w:val="24"/>
          <w:szCs w:val="24"/>
        </w:rPr>
        <w:t>n</w:t>
      </w:r>
      <w:r w:rsidRPr="004432C6">
        <w:rPr>
          <w:rFonts w:ascii="Times New Roman" w:hAnsi="Times New Roman"/>
          <w:b/>
          <w:bCs/>
          <w:i/>
          <w:sz w:val="24"/>
          <w:szCs w:val="24"/>
        </w:rPr>
        <w:t xml:space="preserve">º 57/2009, </w:t>
      </w:r>
      <w:r>
        <w:rPr>
          <w:rFonts w:ascii="Times New Roman" w:hAnsi="Times New Roman"/>
          <w:b/>
          <w:bCs/>
          <w:i/>
          <w:sz w:val="24"/>
          <w:szCs w:val="24"/>
        </w:rPr>
        <w:t>que institui o Serviço de Inspeção e Fiscalização Sanit</w:t>
      </w:r>
      <w:r w:rsidRPr="004432C6">
        <w:rPr>
          <w:rFonts w:ascii="Times New Roman" w:hAnsi="Times New Roman"/>
          <w:b/>
          <w:bCs/>
          <w:i/>
          <w:sz w:val="24"/>
          <w:szCs w:val="24"/>
        </w:rPr>
        <w:t>ária no âmbito do município de Rolim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de M</w:t>
      </w:r>
      <w:r w:rsidRPr="004432C6">
        <w:rPr>
          <w:rFonts w:ascii="Times New Roman" w:hAnsi="Times New Roman"/>
          <w:b/>
          <w:bCs/>
          <w:i/>
          <w:sz w:val="24"/>
          <w:szCs w:val="24"/>
        </w:rPr>
        <w:t>oura</w:t>
      </w:r>
      <w:r>
        <w:rPr>
          <w:rFonts w:ascii="Times New Roman" w:hAnsi="Times New Roman"/>
          <w:bCs/>
          <w:sz w:val="24"/>
          <w:szCs w:val="24"/>
        </w:rPr>
        <w:t xml:space="preserve">”. </w:t>
      </w:r>
      <w:r w:rsidRPr="00651E5D">
        <w:rPr>
          <w:rFonts w:ascii="Times New Roman" w:hAnsi="Times New Roman"/>
          <w:bCs/>
          <w:sz w:val="24"/>
          <w:szCs w:val="24"/>
        </w:rPr>
        <w:t xml:space="preserve">Feito isto, o Senhor Presidente colocou o item I em votação, sendo a Ata aprovada por unanimidade, e, passando </w:t>
      </w:r>
      <w:r>
        <w:rPr>
          <w:rFonts w:ascii="Times New Roman" w:hAnsi="Times New Roman"/>
          <w:bCs/>
          <w:sz w:val="24"/>
          <w:szCs w:val="24"/>
        </w:rPr>
        <w:t xml:space="preserve">à deliberação dos </w:t>
      </w:r>
      <w:r w:rsidRPr="00651E5D">
        <w:rPr>
          <w:rFonts w:ascii="Times New Roman" w:hAnsi="Times New Roman"/>
          <w:bCs/>
          <w:sz w:val="24"/>
          <w:szCs w:val="24"/>
        </w:rPr>
        <w:t xml:space="preserve">demais itens da Ordem do Dia, após análise a Comissão emitiu os </w:t>
      </w:r>
      <w:r>
        <w:rPr>
          <w:rFonts w:ascii="Times New Roman" w:hAnsi="Times New Roman"/>
          <w:bCs/>
          <w:sz w:val="24"/>
          <w:szCs w:val="24"/>
        </w:rPr>
        <w:t xml:space="preserve">seguintes </w:t>
      </w:r>
      <w:r w:rsidRPr="00651E5D">
        <w:rPr>
          <w:rFonts w:ascii="Times New Roman" w:hAnsi="Times New Roman"/>
          <w:bCs/>
          <w:sz w:val="24"/>
          <w:szCs w:val="24"/>
        </w:rPr>
        <w:t>Pareceres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7E4371">
        <w:rPr>
          <w:rFonts w:ascii="Times New Roman" w:hAnsi="Times New Roman"/>
          <w:b/>
          <w:bCs/>
          <w:sz w:val="24"/>
          <w:szCs w:val="24"/>
        </w:rPr>
        <w:t>item II</w:t>
      </w:r>
      <w:r>
        <w:rPr>
          <w:rFonts w:ascii="Times New Roman" w:hAnsi="Times New Roman"/>
          <w:bCs/>
          <w:sz w:val="24"/>
          <w:szCs w:val="24"/>
        </w:rPr>
        <w:t xml:space="preserve"> (PL nº 088/2019 SUBSTITUTIVO), parecer nº 099/2019 – favorável à aprovação, por sua vez a vereadora LAUDECI MENEZES, votou contra ao PL, justificando que o Poder Executivo não atendeu as recomendações do Assessor Jurídico da Câmara Municipal, portanto, entende que o referido Projeto de Lei não se encontra devidamente instruído não estando apto a ser submetido a deliberação do Soberano Plenário; os itens </w:t>
      </w:r>
      <w:r w:rsidRPr="00435BEC">
        <w:rPr>
          <w:rFonts w:ascii="Times New Roman" w:hAnsi="Times New Roman"/>
          <w:b/>
          <w:bCs/>
          <w:sz w:val="24"/>
          <w:szCs w:val="24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PL nº 091/2019);  </w:t>
      </w:r>
      <w:r w:rsidRPr="00435BEC">
        <w:rPr>
          <w:rFonts w:ascii="Times New Roman" w:hAnsi="Times New Roman"/>
          <w:b/>
          <w:bCs/>
          <w:sz w:val="24"/>
          <w:szCs w:val="24"/>
        </w:rPr>
        <w:t>IV</w:t>
      </w: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PL nº 093/2019); </w:t>
      </w:r>
      <w:r w:rsidRPr="00435BEC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PL nº 099/2019); </w:t>
      </w:r>
      <w:r w:rsidRPr="00435BEC">
        <w:rPr>
          <w:rFonts w:ascii="Times New Roman" w:hAnsi="Times New Roman"/>
          <w:b/>
          <w:bCs/>
          <w:sz w:val="24"/>
          <w:szCs w:val="24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PL nº 112/2019) e  </w:t>
      </w:r>
      <w:r>
        <w:rPr>
          <w:rFonts w:ascii="Times New Roman" w:hAnsi="Times New Roman"/>
          <w:b/>
          <w:bCs/>
          <w:sz w:val="24"/>
          <w:szCs w:val="24"/>
        </w:rPr>
        <w:t>VII(</w:t>
      </w:r>
      <w:r>
        <w:rPr>
          <w:rFonts w:ascii="Times New Roman" w:hAnsi="Times New Roman"/>
          <w:bCs/>
          <w:sz w:val="24"/>
          <w:szCs w:val="24"/>
        </w:rPr>
        <w:t xml:space="preserve">PLC  nº 029/2019), receberam os pareceres </w:t>
      </w:r>
      <w:proofErr w:type="spellStart"/>
      <w:r>
        <w:rPr>
          <w:rFonts w:ascii="Times New Roman" w:hAnsi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100 a 104/2019-favoráveis a aprovação. </w:t>
      </w:r>
      <w:r w:rsidRPr="00651E5D">
        <w:rPr>
          <w:rFonts w:ascii="Times New Roman" w:hAnsi="Times New Roman"/>
          <w:bCs/>
          <w:sz w:val="24"/>
          <w:szCs w:val="24"/>
        </w:rPr>
        <w:t xml:space="preserve">Nada mais havendo a tratar, o </w:t>
      </w:r>
      <w:r w:rsidRPr="00651E5D">
        <w:rPr>
          <w:rFonts w:ascii="Times New Roman" w:hAnsi="Times New Roman"/>
          <w:sz w:val="24"/>
          <w:szCs w:val="24"/>
        </w:rPr>
        <w:t xml:space="preserve"> Senhor Presidente encerrou os trabalhos de hoje.  E, para constar, lavrou-se a presente Ata, que depois de lida e aprovada, vai assinada pelo Senhor Presidente, Secretário e Relator.</w:t>
      </w:r>
    </w:p>
    <w:p w:rsidR="009F7A32" w:rsidRDefault="009F7A32"/>
    <w:sectPr w:rsidR="009F7A32" w:rsidSect="0091413E">
      <w:headerReference w:type="default" r:id="rId6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341" w:rsidRDefault="00925341" w:rsidP="0091413E">
      <w:pPr>
        <w:spacing w:after="0" w:line="240" w:lineRule="auto"/>
      </w:pPr>
      <w:r>
        <w:separator/>
      </w:r>
    </w:p>
  </w:endnote>
  <w:endnote w:type="continuationSeparator" w:id="0">
    <w:p w:rsidR="00925341" w:rsidRDefault="00925341" w:rsidP="0091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341" w:rsidRDefault="00925341" w:rsidP="0091413E">
      <w:pPr>
        <w:spacing w:after="0" w:line="240" w:lineRule="auto"/>
      </w:pPr>
      <w:r>
        <w:separator/>
      </w:r>
    </w:p>
  </w:footnote>
  <w:footnote w:type="continuationSeparator" w:id="0">
    <w:p w:rsidR="00925341" w:rsidRDefault="00925341" w:rsidP="0091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3E" w:rsidRDefault="0091413E" w:rsidP="0091413E">
    <w:pPr>
      <w:pStyle w:val="Ttulo2"/>
      <w:jc w:val="left"/>
      <w:rPr>
        <w:lang w:val="pt-BR"/>
      </w:rPr>
    </w:pPr>
  </w:p>
  <w:p w:rsidR="0091413E" w:rsidRDefault="0091413E" w:rsidP="0091413E">
    <w:pPr>
      <w:pStyle w:val="Ttulo2"/>
      <w:jc w:val="left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764540" cy="822960"/>
          <wp:effectExtent l="19050" t="0" r="0" b="0"/>
          <wp:wrapNone/>
          <wp:docPr id="1" name="Imagem 2" descr="Descrição: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ESTADO DE RONDÔNIA</w:t>
    </w:r>
  </w:p>
  <w:p w:rsidR="0091413E" w:rsidRDefault="0091413E" w:rsidP="0091413E">
    <w:pPr>
      <w:pStyle w:val="Ttulo4"/>
      <w:jc w:val="left"/>
      <w:rPr>
        <w:b/>
      </w:rPr>
    </w:pPr>
    <w:r>
      <w:rPr>
        <w:b/>
      </w:rPr>
      <w:t xml:space="preserve">                    PODER LEGISLATIVO</w:t>
    </w:r>
  </w:p>
  <w:p w:rsidR="0091413E" w:rsidRDefault="0091413E" w:rsidP="0091413E">
    <w:pPr>
      <w:pStyle w:val="Ttulo7"/>
      <w:jc w:val="left"/>
      <w:rPr>
        <w:b/>
      </w:rPr>
    </w:pPr>
    <w:r>
      <w:rPr>
        <w:b/>
      </w:rPr>
      <w:t xml:space="preserve">                       CÂMARA MUNICIPAL DE ROLIM DE MOURA</w:t>
    </w:r>
  </w:p>
  <w:p w:rsidR="0091413E" w:rsidRDefault="0091413E" w:rsidP="0091413E">
    <w:pPr>
      <w:pStyle w:val="Ttulo1"/>
      <w:jc w:val="center"/>
      <w:rPr>
        <w:b/>
        <w:bCs/>
        <w:sz w:val="24"/>
      </w:rPr>
    </w:pPr>
    <w:r>
      <w:rPr>
        <w:b/>
        <w:bCs/>
        <w:sz w:val="24"/>
      </w:rPr>
      <w:t>ASSESSORIA DAS COMISSÕES</w:t>
    </w:r>
  </w:p>
  <w:p w:rsidR="0091413E" w:rsidRDefault="0091413E" w:rsidP="0091413E">
    <w:pPr>
      <w:rPr>
        <w:sz w:val="20"/>
      </w:rPr>
    </w:pPr>
    <w:r>
      <w:rPr>
        <w:sz w:val="20"/>
      </w:rPr>
      <w:t>Avenida João Pessoa, 4463 – Centro – Fone: (0xx69) 3442-1629 – Rolim de Moura – Estado de Rondônia</w:t>
    </w:r>
  </w:p>
  <w:p w:rsidR="0091413E" w:rsidRDefault="009141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1413E"/>
    <w:rsid w:val="00082A5A"/>
    <w:rsid w:val="00182178"/>
    <w:rsid w:val="00220118"/>
    <w:rsid w:val="003454BD"/>
    <w:rsid w:val="003B18CC"/>
    <w:rsid w:val="00445D60"/>
    <w:rsid w:val="00490D43"/>
    <w:rsid w:val="00493DDF"/>
    <w:rsid w:val="004C4070"/>
    <w:rsid w:val="004D031B"/>
    <w:rsid w:val="005B31C3"/>
    <w:rsid w:val="006331F9"/>
    <w:rsid w:val="006E0C50"/>
    <w:rsid w:val="00735FC4"/>
    <w:rsid w:val="00782C6F"/>
    <w:rsid w:val="007A0FA4"/>
    <w:rsid w:val="008C2079"/>
    <w:rsid w:val="0091413E"/>
    <w:rsid w:val="00925341"/>
    <w:rsid w:val="009F7A32"/>
    <w:rsid w:val="00AC689B"/>
    <w:rsid w:val="00B10911"/>
    <w:rsid w:val="00BC7F97"/>
    <w:rsid w:val="00C32D81"/>
    <w:rsid w:val="00D069AD"/>
    <w:rsid w:val="00E751E2"/>
    <w:rsid w:val="00E961E7"/>
    <w:rsid w:val="00F60416"/>
    <w:rsid w:val="00F7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A32"/>
  </w:style>
  <w:style w:type="paragraph" w:styleId="Ttulo1">
    <w:name w:val="heading 1"/>
    <w:basedOn w:val="Normal"/>
    <w:next w:val="Normal"/>
    <w:link w:val="Ttulo1Char"/>
    <w:qFormat/>
    <w:rsid w:val="0091413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1413E"/>
    <w:pPr>
      <w:keepNext/>
      <w:spacing w:after="0" w:line="240" w:lineRule="auto"/>
      <w:jc w:val="center"/>
      <w:outlineLvl w:val="1"/>
    </w:pPr>
    <w:rPr>
      <w:rFonts w:ascii="Arial" w:eastAsia="Arial Unicode MS" w:hAnsi="Arial" w:cs="Times New Roman"/>
      <w:b/>
      <w:sz w:val="28"/>
      <w:szCs w:val="20"/>
      <w:lang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1413E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8"/>
      <w:szCs w:val="20"/>
      <w:lang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1413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1413E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914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13E"/>
  </w:style>
  <w:style w:type="paragraph" w:styleId="Rodap">
    <w:name w:val="footer"/>
    <w:basedOn w:val="Normal"/>
    <w:link w:val="RodapChar"/>
    <w:uiPriority w:val="99"/>
    <w:semiHidden/>
    <w:unhideWhenUsed/>
    <w:rsid w:val="00914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1413E"/>
  </w:style>
  <w:style w:type="paragraph" w:styleId="Textodebalo">
    <w:name w:val="Balloon Text"/>
    <w:basedOn w:val="Normal"/>
    <w:link w:val="TextodebaloChar"/>
    <w:uiPriority w:val="99"/>
    <w:semiHidden/>
    <w:unhideWhenUsed/>
    <w:rsid w:val="0091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13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1413E"/>
    <w:rPr>
      <w:rFonts w:ascii="Times New Roman" w:eastAsia="Arial Unicode MS" w:hAnsi="Times New Roman" w:cs="Times New Roman"/>
      <w:sz w:val="28"/>
      <w:szCs w:val="24"/>
      <w:lang/>
    </w:rPr>
  </w:style>
  <w:style w:type="character" w:customStyle="1" w:styleId="Ttulo2Char">
    <w:name w:val="Título 2 Char"/>
    <w:basedOn w:val="Fontepargpadro"/>
    <w:link w:val="Ttulo2"/>
    <w:semiHidden/>
    <w:rsid w:val="0091413E"/>
    <w:rPr>
      <w:rFonts w:ascii="Arial" w:eastAsia="Arial Unicode MS" w:hAnsi="Arial" w:cs="Times New Roman"/>
      <w:b/>
      <w:sz w:val="28"/>
      <w:szCs w:val="20"/>
      <w:lang/>
    </w:rPr>
  </w:style>
  <w:style w:type="character" w:customStyle="1" w:styleId="Ttulo4Char">
    <w:name w:val="Título 4 Char"/>
    <w:basedOn w:val="Fontepargpadro"/>
    <w:link w:val="Ttulo4"/>
    <w:semiHidden/>
    <w:rsid w:val="0091413E"/>
    <w:rPr>
      <w:rFonts w:ascii="Times New Roman" w:eastAsia="Arial Unicode MS" w:hAnsi="Times New Roman" w:cs="Times New Roman"/>
      <w:sz w:val="28"/>
      <w:szCs w:val="20"/>
      <w:lang/>
    </w:rPr>
  </w:style>
  <w:style w:type="character" w:customStyle="1" w:styleId="Ttulo7Char">
    <w:name w:val="Título 7 Char"/>
    <w:basedOn w:val="Fontepargpadro"/>
    <w:link w:val="Ttulo7"/>
    <w:semiHidden/>
    <w:rsid w:val="0091413E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</dc:creator>
  <cp:lastModifiedBy>CÂMARA MUNICIPAL</cp:lastModifiedBy>
  <cp:revision>1</cp:revision>
  <dcterms:created xsi:type="dcterms:W3CDTF">2019-10-15T15:25:00Z</dcterms:created>
  <dcterms:modified xsi:type="dcterms:W3CDTF">2019-10-15T15:28:00Z</dcterms:modified>
</cp:coreProperties>
</file>