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5A" w:rsidRPr="00200BDC" w:rsidRDefault="002C3A5A" w:rsidP="002C3A5A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2203111</wp:posOffset>
            </wp:positionH>
            <wp:positionV relativeFrom="paragraph">
              <wp:posOffset>-315004</wp:posOffset>
            </wp:positionV>
            <wp:extent cx="767759" cy="754911"/>
            <wp:effectExtent l="19050" t="0" r="0" b="0"/>
            <wp:wrapNone/>
            <wp:docPr id="8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A5A" w:rsidRPr="0068549B" w:rsidRDefault="002C3A5A" w:rsidP="002C3A5A">
      <w:pPr>
        <w:pStyle w:val="Ttulo7"/>
        <w:spacing w:line="240" w:lineRule="auto"/>
        <w:jc w:val="center"/>
        <w:rPr>
          <w:rFonts w:ascii="Verdana" w:hAnsi="Verdana" w:cstheme="minorHAnsi"/>
          <w:b/>
          <w:i w:val="0"/>
          <w:color w:val="auto"/>
          <w:sz w:val="18"/>
          <w:szCs w:val="18"/>
        </w:rPr>
      </w:pPr>
      <w:r w:rsidRPr="0068549B">
        <w:rPr>
          <w:rFonts w:ascii="Verdana" w:hAnsi="Verdana" w:cstheme="minorHAnsi"/>
          <w:b/>
          <w:i w:val="0"/>
          <w:color w:val="auto"/>
          <w:sz w:val="18"/>
          <w:szCs w:val="18"/>
        </w:rPr>
        <w:t>ESTADO DE RONDÔNIA</w:t>
      </w:r>
    </w:p>
    <w:p w:rsidR="002C3A5A" w:rsidRPr="0068549B" w:rsidRDefault="002C3A5A" w:rsidP="002C3A5A">
      <w:pPr>
        <w:pStyle w:val="Ttulo1"/>
        <w:shd w:val="clear" w:color="auto" w:fill="FFFFFF"/>
        <w:jc w:val="center"/>
        <w:rPr>
          <w:rFonts w:ascii="Verdana" w:hAnsi="Verdana" w:cstheme="minorHAnsi"/>
          <w:sz w:val="18"/>
          <w:szCs w:val="18"/>
        </w:rPr>
      </w:pPr>
      <w:r w:rsidRPr="0068549B">
        <w:rPr>
          <w:rFonts w:ascii="Verdana" w:hAnsi="Verdana" w:cstheme="minorHAnsi"/>
          <w:sz w:val="18"/>
          <w:szCs w:val="18"/>
        </w:rPr>
        <w:t>PODER LEGISLATIVO</w:t>
      </w:r>
    </w:p>
    <w:p w:rsidR="002C3A5A" w:rsidRPr="0068549B" w:rsidRDefault="002C3A5A" w:rsidP="002C3A5A">
      <w:pPr>
        <w:pStyle w:val="Ttulo1"/>
        <w:shd w:val="clear" w:color="auto" w:fill="FFFFFF"/>
        <w:jc w:val="center"/>
        <w:rPr>
          <w:rFonts w:ascii="Verdana" w:hAnsi="Verdana" w:cstheme="minorHAnsi"/>
          <w:sz w:val="18"/>
          <w:szCs w:val="18"/>
        </w:rPr>
      </w:pPr>
      <w:r w:rsidRPr="0068549B">
        <w:rPr>
          <w:rFonts w:ascii="Verdana" w:hAnsi="Verdana" w:cstheme="minorHAnsi"/>
          <w:sz w:val="18"/>
          <w:szCs w:val="18"/>
        </w:rPr>
        <w:t>CÂMARA MUNICIPAL DE ROLIM DE MOURA</w:t>
      </w:r>
    </w:p>
    <w:p w:rsidR="002C3A5A" w:rsidRPr="0068549B" w:rsidRDefault="002C3A5A" w:rsidP="002C3A5A">
      <w:pPr>
        <w:jc w:val="center"/>
        <w:rPr>
          <w:rFonts w:ascii="Verdana" w:hAnsi="Verdana"/>
          <w:b/>
          <w:sz w:val="18"/>
          <w:szCs w:val="18"/>
        </w:rPr>
      </w:pPr>
      <w:r w:rsidRPr="0068549B">
        <w:rPr>
          <w:rFonts w:ascii="Verdana" w:hAnsi="Verdana"/>
          <w:sz w:val="18"/>
          <w:szCs w:val="18"/>
        </w:rPr>
        <w:t xml:space="preserve">Gabinete da Vereadora </w:t>
      </w:r>
      <w:r w:rsidRPr="0068549B">
        <w:rPr>
          <w:rFonts w:ascii="Verdana" w:hAnsi="Verdana"/>
          <w:b/>
          <w:sz w:val="18"/>
          <w:szCs w:val="18"/>
        </w:rPr>
        <w:t>Juliana Aparecida Nonato</w:t>
      </w:r>
    </w:p>
    <w:p w:rsidR="002C3A5A" w:rsidRPr="002B32B2" w:rsidRDefault="002C3A5A" w:rsidP="002C3A5A">
      <w:pPr>
        <w:spacing w:line="240" w:lineRule="auto"/>
        <w:jc w:val="center"/>
        <w:rPr>
          <w:rFonts w:ascii="Verdana" w:eastAsia="Bookman Old Style" w:hAnsi="Verdana" w:cs="Bookman Old Style"/>
          <w:sz w:val="16"/>
          <w:szCs w:val="16"/>
        </w:rPr>
      </w:pPr>
      <w:r w:rsidRPr="00737B82">
        <w:rPr>
          <w:rFonts w:ascii="Verdana" w:eastAsia="Bookman Old Style" w:hAnsi="Verdana" w:cs="Bookman Old Style"/>
          <w:sz w:val="16"/>
          <w:szCs w:val="16"/>
        </w:rPr>
        <w:t>Avenida João Pessoa, 4463, Centro – Rolim de Moura/RO – CEP. 76.940-000</w:t>
      </w:r>
    </w:p>
    <w:p w:rsidR="002C3A5A" w:rsidRPr="00200BDC" w:rsidRDefault="002C3A5A" w:rsidP="002C3A5A">
      <w:pPr>
        <w:jc w:val="both"/>
        <w:rPr>
          <w:rFonts w:ascii="Verdana" w:hAnsi="Verdana"/>
          <w:b/>
          <w:u w:val="single"/>
        </w:rPr>
      </w:pPr>
      <w:r w:rsidRPr="00E97F36">
        <w:rPr>
          <w:rFonts w:ascii="Verdana" w:hAnsi="Verdana"/>
          <w:b/>
          <w:u w:val="single"/>
        </w:rPr>
        <w:t>PROJETO DE LEI ORDINÁRIO Nº</w:t>
      </w:r>
      <w:r w:rsidR="007A07A7">
        <w:rPr>
          <w:rFonts w:ascii="Verdana" w:hAnsi="Verdana"/>
          <w:b/>
          <w:u w:val="single"/>
        </w:rPr>
        <w:t>.203</w:t>
      </w:r>
      <w:r w:rsidRPr="00E97F36">
        <w:rPr>
          <w:rFonts w:ascii="Verdana" w:hAnsi="Verdana"/>
          <w:b/>
          <w:u w:val="single"/>
        </w:rPr>
        <w:t>/2023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2C3A5A" w:rsidRPr="00200BDC" w:rsidTr="00A54166">
        <w:trPr>
          <w:tblCellSpacing w:w="0" w:type="dxa"/>
        </w:trPr>
        <w:tc>
          <w:tcPr>
            <w:tcW w:w="9072" w:type="dxa"/>
            <w:hideMark/>
          </w:tcPr>
          <w:p w:rsidR="002C3A5A" w:rsidRPr="00BA3A15" w:rsidRDefault="002C3A5A" w:rsidP="00A54166">
            <w:pPr>
              <w:spacing w:after="0"/>
              <w:ind w:left="1418"/>
              <w:jc w:val="both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r w:rsidRPr="00BA3A15">
              <w:rPr>
                <w:rFonts w:ascii="Verdana" w:eastAsia="Times New Roman" w:hAnsi="Verdana" w:cs="Arial"/>
                <w:bCs/>
                <w:lang w:eastAsia="pt-BR"/>
              </w:rPr>
              <w:t>Sumula:</w:t>
            </w:r>
            <w:r w:rsidRPr="00200BDC">
              <w:rPr>
                <w:rFonts w:ascii="Verdana" w:eastAsia="Times New Roman" w:hAnsi="Verdana" w:cs="Arial"/>
                <w:b/>
                <w:bCs/>
                <w:lang w:eastAsia="pt-BR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lang w:eastAsia="pt-BR"/>
              </w:rPr>
              <w:t xml:space="preserve">Dispõe sobre a Política de proteção às mulheres em situação de vulnerabilidade pela Rede Pública Municipal de Saúde, com a utilização do contraceptivo reversível de longa duração de </w:t>
            </w:r>
            <w:r w:rsidRPr="00200BDC">
              <w:rPr>
                <w:rFonts w:ascii="Verdana" w:eastAsia="Times New Roman" w:hAnsi="Verdana" w:cs="Arial"/>
                <w:b/>
                <w:bCs/>
                <w:lang w:eastAsia="pt-BR"/>
              </w:rPr>
              <w:t>ETONOGESTREL</w:t>
            </w:r>
            <w:r>
              <w:rPr>
                <w:rFonts w:ascii="Verdana" w:eastAsia="Times New Roman" w:hAnsi="Verdana" w:cs="Arial"/>
                <w:b/>
                <w:bCs/>
                <w:lang w:eastAsia="pt-BR"/>
              </w:rPr>
              <w:t>, e dá outras providências.</w:t>
            </w:r>
          </w:p>
        </w:tc>
      </w:tr>
    </w:tbl>
    <w:p w:rsidR="002C3A5A" w:rsidRPr="00200BDC" w:rsidRDefault="002C3A5A" w:rsidP="002C3A5A">
      <w:pPr>
        <w:spacing w:after="0"/>
        <w:jc w:val="both"/>
        <w:rPr>
          <w:rFonts w:ascii="Verdana" w:eastAsia="Times New Roman" w:hAnsi="Verdana" w:cs="Arial"/>
          <w:b/>
          <w:bCs/>
          <w:color w:val="000000"/>
          <w:shd w:val="clear" w:color="auto" w:fill="FFFFFF"/>
          <w:lang w:eastAsia="pt-BR"/>
        </w:rPr>
      </w:pPr>
      <w:r w:rsidRPr="0022023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>
        <w:rPr>
          <w:rFonts w:ascii="Verdana" w:hAnsi="Verdana" w:cs="Arial"/>
          <w:b/>
        </w:rPr>
        <w:t xml:space="preserve">            </w:t>
      </w:r>
      <w:r w:rsidRPr="00200BDC">
        <w:rPr>
          <w:rFonts w:ascii="Verdana" w:hAnsi="Verdana" w:cs="Arial"/>
          <w:b/>
        </w:rPr>
        <w:t>A CÂMARA MUNICIPAL DE ROLIM DE MOURA</w:t>
      </w:r>
      <w:r w:rsidRPr="00200BDC">
        <w:rPr>
          <w:rFonts w:ascii="Verdana" w:hAnsi="Verdana" w:cs="Arial"/>
        </w:rPr>
        <w:t>, no uso de suas atribuições que lhes são conferidas pela Lei Orgânica do Município e Regimento Interno;</w:t>
      </w:r>
    </w:p>
    <w:p w:rsidR="002C3A5A" w:rsidRPr="00200BDC" w:rsidRDefault="002C3A5A" w:rsidP="002C3A5A">
      <w:pPr>
        <w:spacing w:after="0"/>
        <w:ind w:firstLine="851"/>
        <w:jc w:val="both"/>
        <w:rPr>
          <w:rFonts w:ascii="Verdana" w:eastAsia="Times New Roman" w:hAnsi="Verdana" w:cs="Times New Roman"/>
          <w:lang w:eastAsia="pt-BR"/>
        </w:rPr>
      </w:pPr>
    </w:p>
    <w:p w:rsidR="002C3A5A" w:rsidRDefault="002C3A5A" w:rsidP="002C3A5A">
      <w:pPr>
        <w:shd w:val="clear" w:color="auto" w:fill="FFFFFF"/>
        <w:spacing w:after="0"/>
        <w:ind w:firstLine="851"/>
        <w:jc w:val="both"/>
        <w:rPr>
          <w:rFonts w:ascii="Verdana" w:eastAsia="Times New Roman" w:hAnsi="Verdana" w:cs="Arial"/>
          <w:b/>
          <w:bCs/>
          <w:color w:val="000000"/>
          <w:lang w:eastAsia="pt-BR"/>
        </w:rPr>
      </w:pPr>
      <w:r w:rsidRPr="00200BDC">
        <w:rPr>
          <w:rFonts w:ascii="Verdana" w:eastAsia="Times New Roman" w:hAnsi="Verdana" w:cs="Arial"/>
          <w:b/>
          <w:bCs/>
          <w:color w:val="000000"/>
          <w:lang w:eastAsia="pt-BR"/>
        </w:rPr>
        <w:t>D E C R E T A :</w:t>
      </w:r>
    </w:p>
    <w:p w:rsidR="002C3A5A" w:rsidRPr="00200BDC" w:rsidRDefault="002C3A5A" w:rsidP="002C3A5A">
      <w:pPr>
        <w:shd w:val="clear" w:color="auto" w:fill="FFFFFF"/>
        <w:spacing w:after="0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</w:p>
    <w:p w:rsidR="002C3A5A" w:rsidRPr="00200BDC" w:rsidRDefault="002C3A5A" w:rsidP="002C3A5A">
      <w:pPr>
        <w:spacing w:after="0"/>
        <w:ind w:firstLine="851"/>
        <w:jc w:val="both"/>
        <w:rPr>
          <w:rFonts w:ascii="Verdana" w:eastAsia="Times New Roman" w:hAnsi="Verdana" w:cs="Times New Roman"/>
          <w:lang w:eastAsia="pt-BR"/>
        </w:rPr>
      </w:pPr>
      <w:r w:rsidRPr="00200BDC">
        <w:rPr>
          <w:rFonts w:ascii="Verdana" w:eastAsia="Times New Roman" w:hAnsi="Verdana" w:cs="Arial"/>
          <w:color w:val="000000"/>
          <w:shd w:val="clear" w:color="auto" w:fill="FFFFFF"/>
          <w:lang w:eastAsia="pt-BR"/>
        </w:rPr>
        <w:t>Art. 1º As mulheres em situação de vulnerabilidade d</w:t>
      </w:r>
      <w:r w:rsidR="007A07A7">
        <w:rPr>
          <w:rFonts w:ascii="Verdana" w:eastAsia="Times New Roman" w:hAnsi="Verdana" w:cs="Arial"/>
          <w:color w:val="000000"/>
          <w:shd w:val="clear" w:color="auto" w:fill="FFFFFF"/>
          <w:lang w:eastAsia="pt-BR"/>
        </w:rPr>
        <w:t>o Município de Rolim de Moura</w:t>
      </w:r>
      <w:r w:rsidRPr="00200BDC">
        <w:rPr>
          <w:rFonts w:ascii="Verdana" w:eastAsia="Times New Roman" w:hAnsi="Verdana" w:cs="Arial"/>
          <w:color w:val="000000"/>
          <w:shd w:val="clear" w:color="auto" w:fill="FFFFFF"/>
          <w:lang w:eastAsia="pt-BR"/>
        </w:rPr>
        <w:t xml:space="preserve">, atendidas na Rede Pública de Saúde, por meio de instituições diretas ou conveniadas a qualquer título terão direito a receber gratuitamente implantes contraceptivos reversíveis de longa duração de </w:t>
      </w:r>
      <w:proofErr w:type="spellStart"/>
      <w:r w:rsidRPr="00200BDC">
        <w:rPr>
          <w:rFonts w:ascii="Verdana" w:eastAsia="Times New Roman" w:hAnsi="Verdana" w:cs="Arial"/>
          <w:color w:val="000000"/>
          <w:shd w:val="clear" w:color="auto" w:fill="FFFFFF"/>
          <w:lang w:eastAsia="pt-BR"/>
        </w:rPr>
        <w:t>etonogestrel</w:t>
      </w:r>
      <w:proofErr w:type="spellEnd"/>
      <w:r w:rsidRPr="00200BDC">
        <w:rPr>
          <w:rFonts w:ascii="Verdana" w:eastAsia="Times New Roman" w:hAnsi="Verdana" w:cs="Arial"/>
          <w:color w:val="000000"/>
          <w:shd w:val="clear" w:color="auto" w:fill="FFFFFF"/>
          <w:lang w:eastAsia="pt-BR"/>
        </w:rPr>
        <w:t>.</w:t>
      </w:r>
    </w:p>
    <w:p w:rsidR="002C3A5A" w:rsidRPr="00200BDC" w:rsidRDefault="002C3A5A" w:rsidP="002C3A5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200BDC">
        <w:rPr>
          <w:rFonts w:ascii="Verdana" w:eastAsia="Times New Roman" w:hAnsi="Verdana" w:cs="Arial"/>
          <w:color w:val="000000"/>
          <w:lang w:eastAsia="pt-BR"/>
        </w:rPr>
        <w:t>Art. 2º O sistema Municipal de Saúde, na pessoa do profissional de saúde em atendimento, fica responsável por informar à mulher a respeito dos riscos e do tratamento necessário.</w:t>
      </w:r>
    </w:p>
    <w:p w:rsidR="002C3A5A" w:rsidRPr="00200BDC" w:rsidRDefault="002C3A5A" w:rsidP="002C3A5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200BDC">
        <w:rPr>
          <w:rFonts w:ascii="Verdana" w:eastAsia="Times New Roman" w:hAnsi="Verdana" w:cs="Arial"/>
          <w:color w:val="000000"/>
          <w:lang w:eastAsia="pt-BR"/>
        </w:rPr>
        <w:t>Art. 3º As despesas com a execução da presente Lei correrão por conta das dotações orçamentárias próprias.</w:t>
      </w:r>
    </w:p>
    <w:p w:rsidR="002C3A5A" w:rsidRPr="00200BDC" w:rsidRDefault="002C3A5A" w:rsidP="002C3A5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200BDC">
        <w:rPr>
          <w:rFonts w:ascii="Verdana" w:eastAsia="Times New Roman" w:hAnsi="Verdana" w:cs="Arial"/>
          <w:color w:val="000000"/>
          <w:lang w:eastAsia="pt-BR"/>
        </w:rPr>
        <w:t>Art. 4º O Executivo regulamentará a presente Lei no prazo de cento e vinte dias a partir de sua publicação.</w:t>
      </w:r>
    </w:p>
    <w:p w:rsidR="002C3A5A" w:rsidRPr="00200BDC" w:rsidRDefault="002C3A5A" w:rsidP="002C3A5A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200BDC">
        <w:rPr>
          <w:rFonts w:ascii="Verdana" w:eastAsia="Times New Roman" w:hAnsi="Verdana" w:cs="Arial"/>
          <w:color w:val="000000"/>
          <w:lang w:eastAsia="pt-BR"/>
        </w:rPr>
        <w:t>Art. 5º Esta Lei entra em vigor na data de sua publicação.</w:t>
      </w:r>
    </w:p>
    <w:p w:rsidR="002C3A5A" w:rsidRDefault="002C3A5A" w:rsidP="002C3A5A">
      <w:pPr>
        <w:shd w:val="clear" w:color="auto" w:fill="FFFFFF"/>
        <w:spacing w:after="167"/>
        <w:ind w:firstLine="851"/>
        <w:jc w:val="center"/>
        <w:rPr>
          <w:rFonts w:ascii="Verdana" w:hAnsi="Verdana" w:cs="Arial"/>
        </w:rPr>
      </w:pPr>
      <w:r w:rsidRPr="00E97F36">
        <w:rPr>
          <w:rFonts w:ascii="Verdana" w:hAnsi="Verdana" w:cs="Arial"/>
        </w:rPr>
        <w:t>Câmara</w:t>
      </w:r>
      <w:r>
        <w:rPr>
          <w:rFonts w:ascii="Verdana" w:hAnsi="Verdana" w:cs="Arial"/>
        </w:rPr>
        <w:t xml:space="preserve"> Municipal de Rolim de Moura, 14 de Novembro</w:t>
      </w:r>
      <w:r w:rsidRPr="00E97F36">
        <w:rPr>
          <w:rFonts w:ascii="Verdana" w:hAnsi="Verdana" w:cs="Arial"/>
        </w:rPr>
        <w:t xml:space="preserve"> de 2023.</w:t>
      </w:r>
    </w:p>
    <w:p w:rsidR="002C3A5A" w:rsidRPr="002B32B2" w:rsidRDefault="002C3A5A" w:rsidP="002C3A5A">
      <w:pPr>
        <w:shd w:val="clear" w:color="auto" w:fill="FFFFFF"/>
        <w:spacing w:after="167"/>
        <w:ind w:firstLine="851"/>
        <w:jc w:val="center"/>
        <w:rPr>
          <w:rFonts w:ascii="Verdana" w:hAnsi="Verdana" w:cs="Arial"/>
        </w:rPr>
      </w:pPr>
      <w:r w:rsidRPr="00E97F36">
        <w:rPr>
          <w:rFonts w:ascii="Verdana" w:hAnsi="Verdana" w:cs="Arial"/>
        </w:rPr>
        <w:br/>
      </w:r>
      <w:r w:rsidRPr="00E97F36">
        <w:rPr>
          <w:rFonts w:ascii="Verdana" w:hAnsi="Verdana" w:cs="Arial"/>
          <w:b/>
          <w:bCs/>
        </w:rPr>
        <w:t>JULIANA APARECIDA NONATO</w:t>
      </w:r>
    </w:p>
    <w:p w:rsidR="002C3A5A" w:rsidRPr="00200BDC" w:rsidRDefault="002C3A5A" w:rsidP="002C3A5A">
      <w:pPr>
        <w:shd w:val="clear" w:color="auto" w:fill="FFFFFF"/>
        <w:spacing w:after="167"/>
        <w:ind w:firstLine="851"/>
        <w:jc w:val="center"/>
        <w:rPr>
          <w:rFonts w:ascii="Verdana" w:hAnsi="Verdana" w:cs="Arial"/>
        </w:rPr>
      </w:pPr>
      <w:r w:rsidRPr="00E97F36">
        <w:rPr>
          <w:rFonts w:ascii="Verdana" w:hAnsi="Verdana" w:cs="Arial"/>
          <w:bCs/>
        </w:rPr>
        <w:t>Vereadora – CMRM</w:t>
      </w:r>
    </w:p>
    <w:p w:rsidR="002C3A5A" w:rsidRPr="00200BDC" w:rsidRDefault="002C3A5A" w:rsidP="002C3A5A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2160580</wp:posOffset>
            </wp:positionH>
            <wp:positionV relativeFrom="paragraph">
              <wp:posOffset>-559553</wp:posOffset>
            </wp:positionV>
            <wp:extent cx="767759" cy="754911"/>
            <wp:effectExtent l="19050" t="0" r="0" b="0"/>
            <wp:wrapNone/>
            <wp:docPr id="9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A5A" w:rsidRPr="0068549B" w:rsidRDefault="002C3A5A" w:rsidP="002C3A5A">
      <w:pPr>
        <w:pStyle w:val="Ttulo7"/>
        <w:spacing w:line="240" w:lineRule="auto"/>
        <w:jc w:val="center"/>
        <w:rPr>
          <w:rFonts w:ascii="Century Gothic" w:hAnsi="Century Gothic" w:cstheme="minorHAnsi"/>
          <w:b/>
          <w:i w:val="0"/>
          <w:color w:val="auto"/>
          <w:sz w:val="18"/>
          <w:szCs w:val="18"/>
        </w:rPr>
      </w:pPr>
      <w:r w:rsidRPr="0068549B">
        <w:rPr>
          <w:rFonts w:ascii="Century Gothic" w:hAnsi="Century Gothic" w:cstheme="minorHAnsi"/>
          <w:b/>
          <w:i w:val="0"/>
          <w:color w:val="auto"/>
          <w:sz w:val="18"/>
          <w:szCs w:val="18"/>
        </w:rPr>
        <w:t>ESTADO DE RONDÔNIA</w:t>
      </w:r>
    </w:p>
    <w:p w:rsidR="002C3A5A" w:rsidRDefault="002C3A5A" w:rsidP="002C3A5A">
      <w:pPr>
        <w:pStyle w:val="Ttulo1"/>
        <w:shd w:val="clear" w:color="auto" w:fill="FFFFFF"/>
        <w:jc w:val="center"/>
        <w:rPr>
          <w:rFonts w:ascii="Century Gothic" w:hAnsi="Century Gothic" w:cstheme="minorHAnsi"/>
          <w:sz w:val="18"/>
          <w:szCs w:val="18"/>
        </w:rPr>
      </w:pPr>
      <w:r w:rsidRPr="0068549B">
        <w:rPr>
          <w:rFonts w:ascii="Century Gothic" w:hAnsi="Century Gothic" w:cstheme="minorHAnsi"/>
          <w:sz w:val="18"/>
          <w:szCs w:val="18"/>
        </w:rPr>
        <w:t>PODER LEGISLATIVO</w:t>
      </w:r>
    </w:p>
    <w:p w:rsidR="002C3A5A" w:rsidRDefault="002C3A5A" w:rsidP="002C3A5A">
      <w:pPr>
        <w:pStyle w:val="Ttulo1"/>
        <w:shd w:val="clear" w:color="auto" w:fill="FFFFFF"/>
        <w:jc w:val="center"/>
        <w:rPr>
          <w:rFonts w:ascii="Century Gothic" w:hAnsi="Century Gothic" w:cstheme="minorHAnsi"/>
          <w:sz w:val="18"/>
          <w:szCs w:val="18"/>
        </w:rPr>
      </w:pPr>
      <w:r w:rsidRPr="0068549B">
        <w:rPr>
          <w:rFonts w:ascii="Century Gothic" w:hAnsi="Century Gothic" w:cstheme="minorHAnsi"/>
          <w:sz w:val="18"/>
          <w:szCs w:val="18"/>
        </w:rPr>
        <w:t>CÂMARA MUNICIPAL DE ROLIM DE MOURA</w:t>
      </w:r>
    </w:p>
    <w:p w:rsidR="002C3A5A" w:rsidRPr="0068549B" w:rsidRDefault="002C3A5A" w:rsidP="002C3A5A">
      <w:pPr>
        <w:pStyle w:val="Ttulo1"/>
        <w:shd w:val="clear" w:color="auto" w:fill="FFFFFF"/>
        <w:jc w:val="center"/>
        <w:rPr>
          <w:rFonts w:ascii="Century Gothic" w:hAnsi="Century Gothic" w:cstheme="minorHAnsi"/>
          <w:b w:val="0"/>
          <w:sz w:val="18"/>
          <w:szCs w:val="18"/>
        </w:rPr>
      </w:pPr>
      <w:r w:rsidRPr="0068549B">
        <w:rPr>
          <w:rFonts w:ascii="Verdana" w:hAnsi="Verdana"/>
          <w:b w:val="0"/>
          <w:sz w:val="18"/>
          <w:szCs w:val="18"/>
        </w:rPr>
        <w:t>Gabinete da Vereadora</w:t>
      </w:r>
      <w:r w:rsidRPr="0068549B">
        <w:rPr>
          <w:rFonts w:ascii="Verdana" w:hAnsi="Verdana"/>
          <w:sz w:val="18"/>
          <w:szCs w:val="18"/>
        </w:rPr>
        <w:t xml:space="preserve"> Juliana Aparecida Nonato</w:t>
      </w:r>
      <w:r w:rsidRPr="0068549B">
        <w:rPr>
          <w:sz w:val="18"/>
          <w:szCs w:val="18"/>
        </w:rPr>
        <w:br/>
      </w:r>
      <w:r w:rsidRPr="0068549B">
        <w:rPr>
          <w:rFonts w:ascii="Verdana" w:eastAsia="Bookman Old Style" w:hAnsi="Verdana" w:cs="Bookman Old Style"/>
          <w:b w:val="0"/>
          <w:sz w:val="18"/>
          <w:szCs w:val="18"/>
        </w:rPr>
        <w:t>Avenida João Pessoa, 4463, Centro – Rolim de Moura/RO – CEP. 76.940-000</w:t>
      </w:r>
    </w:p>
    <w:p w:rsidR="002C3A5A" w:rsidRPr="00BD7588" w:rsidRDefault="002C3A5A" w:rsidP="002C3A5A">
      <w:pPr>
        <w:jc w:val="center"/>
        <w:rPr>
          <w:rFonts w:ascii="Verdana" w:hAnsi="Verdana"/>
          <w:sz w:val="20"/>
          <w:szCs w:val="20"/>
        </w:rPr>
      </w:pPr>
    </w:p>
    <w:p w:rsidR="002C3A5A" w:rsidRPr="00BA3A15" w:rsidRDefault="002C3A5A" w:rsidP="002C3A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  <w:r w:rsidRPr="00BA3A15">
        <w:rPr>
          <w:rFonts w:ascii="Verdana" w:eastAsia="Times New Roman" w:hAnsi="Verdana" w:cs="Arial"/>
          <w:b/>
          <w:bCs/>
          <w:color w:val="000000"/>
          <w:sz w:val="27"/>
          <w:szCs w:val="27"/>
          <w:u w:val="single"/>
          <w:lang w:eastAsia="pt-BR"/>
        </w:rPr>
        <w:t>JUSTIFICATIVA</w:t>
      </w:r>
    </w:p>
    <w:p w:rsidR="002C3A5A" w:rsidRDefault="002C3A5A" w:rsidP="002C3A5A">
      <w:pPr>
        <w:shd w:val="clear" w:color="auto" w:fill="FFFFFF"/>
        <w:spacing w:after="0" w:line="240" w:lineRule="auto"/>
        <w:ind w:left="2160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2C3A5A" w:rsidRDefault="002C3A5A" w:rsidP="002C3A5A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BA3A15">
        <w:rPr>
          <w:rFonts w:ascii="Verdana" w:eastAsia="Times New Roman" w:hAnsi="Verdana" w:cs="Arial"/>
          <w:color w:val="000000"/>
          <w:lang w:eastAsia="pt-BR"/>
        </w:rPr>
        <w:t>A Situação das mulheres em situação de vulnerabilidade precisa ter acesso a todos os meios contraceptivos aprovados pelo Sistema de</w:t>
      </w:r>
      <w:r w:rsidRPr="00BA3A15">
        <w:rPr>
          <w:rFonts w:ascii="Verdana" w:eastAsia="Times New Roman" w:hAnsi="Verdana" w:cs="Times New Roman"/>
          <w:color w:val="000000"/>
          <w:lang w:eastAsia="pt-BR"/>
        </w:rPr>
        <w:br/>
      </w:r>
      <w:r w:rsidRPr="00BA3A15">
        <w:rPr>
          <w:rFonts w:ascii="Verdana" w:eastAsia="Times New Roman" w:hAnsi="Verdana" w:cs="Arial"/>
          <w:color w:val="000000"/>
          <w:lang w:eastAsia="pt-BR"/>
        </w:rPr>
        <w:t>Saúde Brasileiro.</w:t>
      </w:r>
    </w:p>
    <w:p w:rsidR="002C3A5A" w:rsidRDefault="002C3A5A" w:rsidP="002C3A5A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color w:val="000000"/>
          <w:lang w:eastAsia="pt-BR"/>
        </w:rPr>
      </w:pPr>
      <w:r w:rsidRPr="00BA3A15">
        <w:rPr>
          <w:rFonts w:ascii="Verdana" w:eastAsia="Times New Roman" w:hAnsi="Verdana" w:cs="Arial"/>
          <w:color w:val="000000"/>
          <w:lang w:eastAsia="pt-BR"/>
        </w:rPr>
        <w:t xml:space="preserve">O presente projeto de Lei busca alcançar essa medida </w:t>
      </w:r>
      <w:proofErr w:type="spellStart"/>
      <w:r w:rsidRPr="00BA3A15">
        <w:rPr>
          <w:rFonts w:ascii="Verdana" w:eastAsia="Times New Roman" w:hAnsi="Verdana" w:cs="Arial"/>
          <w:color w:val="000000"/>
          <w:lang w:eastAsia="pt-BR"/>
        </w:rPr>
        <w:t>protetiva</w:t>
      </w:r>
      <w:proofErr w:type="spellEnd"/>
      <w:r w:rsidRPr="00BA3A15">
        <w:rPr>
          <w:rFonts w:ascii="Verdana" w:eastAsia="Times New Roman" w:hAnsi="Verdana" w:cs="Arial"/>
          <w:color w:val="000000"/>
          <w:lang w:eastAsia="pt-BR"/>
        </w:rPr>
        <w:t>. O método ora preconizado, permite que a usuária possa responsabilizar-se por um planejamento familiar com a utilização deste contraceptivo de longa duração, evitando as possíveis falhas que possam ter ocorrido com outros métodos. Com o implante, em quaisquer relações sexuais, a mulher evita uma gravidez indesejada, e considerando ainda a boa aceitação do mesmo por adolescentes, in</w:t>
      </w:r>
      <w:r>
        <w:rPr>
          <w:rFonts w:ascii="Verdana" w:eastAsia="Times New Roman" w:hAnsi="Verdana" w:cs="Arial"/>
          <w:color w:val="000000"/>
          <w:lang w:eastAsia="pt-BR"/>
        </w:rPr>
        <w:t>clusive, que a relativa ao DIU</w:t>
      </w:r>
      <w:r w:rsidRPr="00BA3A15">
        <w:rPr>
          <w:rFonts w:ascii="Verdana" w:eastAsia="Times New Roman" w:hAnsi="Verdana" w:cs="Arial"/>
          <w:color w:val="000000"/>
          <w:lang w:eastAsia="pt-BR"/>
        </w:rPr>
        <w:t>, seu baixo índice de efeitos secundários, as altas taxas de descontinuidade observadas nas mulheres que fazem uso de anticoncepcionais orais, não predispor a doenças inflamatórias pélvicas, oferecer anticoncepção prolongad</w:t>
      </w:r>
      <w:r>
        <w:rPr>
          <w:rFonts w:ascii="Verdana" w:eastAsia="Times New Roman" w:hAnsi="Verdana" w:cs="Arial"/>
          <w:color w:val="000000"/>
          <w:lang w:eastAsia="pt-BR"/>
        </w:rPr>
        <w:t>a porém totalmente reversível.</w:t>
      </w:r>
    </w:p>
    <w:p w:rsidR="002C3A5A" w:rsidRDefault="002C3A5A" w:rsidP="002C3A5A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color w:val="000000"/>
          <w:lang w:eastAsia="pt-BR"/>
        </w:rPr>
      </w:pPr>
      <w:r w:rsidRPr="00BA3A15">
        <w:rPr>
          <w:rFonts w:ascii="Verdana" w:eastAsia="Times New Roman" w:hAnsi="Verdana" w:cs="Arial"/>
          <w:color w:val="000000"/>
          <w:lang w:eastAsia="pt-BR"/>
        </w:rPr>
        <w:t>A falta de cuidados contraceptivos é um dos fatores responsáveis pelo aumento do número de adolescentes grávidas. O mesmo acontece com mulheres usuárias de drogas, com deficiências mentais, moradoras de rua, que são muitas vezes expostas a risco de abuso sexual por parte de pessoas que se aproveitam da red</w:t>
      </w:r>
      <w:r>
        <w:rPr>
          <w:rFonts w:ascii="Verdana" w:eastAsia="Times New Roman" w:hAnsi="Verdana" w:cs="Arial"/>
          <w:color w:val="000000"/>
          <w:lang w:eastAsia="pt-BR"/>
        </w:rPr>
        <w:t>ução no nível de entendimento.</w:t>
      </w:r>
    </w:p>
    <w:p w:rsidR="002C3A5A" w:rsidRDefault="002C3A5A" w:rsidP="002C3A5A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color w:val="000000"/>
          <w:lang w:eastAsia="pt-BR"/>
        </w:rPr>
      </w:pPr>
      <w:r w:rsidRPr="00BA3A15">
        <w:rPr>
          <w:rFonts w:ascii="Verdana" w:eastAsia="Times New Roman" w:hAnsi="Verdana" w:cs="Arial"/>
          <w:color w:val="000000"/>
          <w:lang w:eastAsia="pt-BR"/>
        </w:rPr>
        <w:t xml:space="preserve">Outras mulheres estão impedidas de engravidar por problemas de saúde de naturezas variadas como, diabetes já com </w:t>
      </w:r>
      <w:proofErr w:type="spellStart"/>
      <w:r w:rsidRPr="00BA3A15">
        <w:rPr>
          <w:rFonts w:ascii="Verdana" w:eastAsia="Times New Roman" w:hAnsi="Verdana" w:cs="Arial"/>
          <w:color w:val="000000"/>
          <w:lang w:eastAsia="pt-BR"/>
        </w:rPr>
        <w:t>nefropatia</w:t>
      </w:r>
      <w:proofErr w:type="spellEnd"/>
      <w:r w:rsidRPr="00BA3A15">
        <w:rPr>
          <w:rFonts w:ascii="Verdana" w:eastAsia="Times New Roman" w:hAnsi="Verdana" w:cs="Arial"/>
          <w:color w:val="000000"/>
          <w:lang w:eastAsia="pt-BR"/>
        </w:rPr>
        <w:t xml:space="preserve">, retinopatia, neuropatia, etc.,, doenças cardíaca valvular complicada, hipertensão arterial grave, doença isquêmica, dentre outras. Esse grupo de mulheres precisa de contraceptivos eficientes e o implante de longa duração é bastante indicado. Recentemente a OMS - </w:t>
      </w:r>
      <w:r>
        <w:rPr>
          <w:rFonts w:ascii="Verdana" w:eastAsia="Times New Roman" w:hAnsi="Verdana" w:cs="Arial"/>
          <w:color w:val="000000"/>
          <w:lang w:eastAsia="pt-BR"/>
        </w:rPr>
        <w:t xml:space="preserve">Organização Mundial, de Saúde, </w:t>
      </w:r>
      <w:r w:rsidRPr="00BA3A15">
        <w:rPr>
          <w:rFonts w:ascii="Verdana" w:eastAsia="Times New Roman" w:hAnsi="Verdana" w:cs="Arial"/>
          <w:color w:val="000000"/>
          <w:lang w:eastAsia="pt-BR"/>
        </w:rPr>
        <w:t xml:space="preserve">incorporou em sua lista o contraceptivo que utiliza a substancia </w:t>
      </w:r>
      <w:proofErr w:type="spellStart"/>
      <w:r w:rsidRPr="00BA3A15">
        <w:rPr>
          <w:rFonts w:ascii="Verdana" w:eastAsia="Times New Roman" w:hAnsi="Verdana" w:cs="Arial"/>
          <w:color w:val="000000"/>
          <w:lang w:eastAsia="pt-BR"/>
        </w:rPr>
        <w:t>Etonogestrel</w:t>
      </w:r>
      <w:proofErr w:type="spellEnd"/>
      <w:r w:rsidRPr="00BA3A15">
        <w:rPr>
          <w:rFonts w:ascii="Verdana" w:eastAsia="Times New Roman" w:hAnsi="Verdana" w:cs="Arial"/>
          <w:color w:val="000000"/>
          <w:lang w:eastAsia="pt-BR"/>
        </w:rPr>
        <w:t xml:space="preserve"> e o considera um dos métodos mais eficazes entre todos; Os dados demonstram que apenas cinco a cada 10 mil mulheres podem sofr</w:t>
      </w:r>
      <w:r>
        <w:rPr>
          <w:rFonts w:ascii="Verdana" w:eastAsia="Times New Roman" w:hAnsi="Verdana" w:cs="Arial"/>
          <w:color w:val="000000"/>
          <w:lang w:eastAsia="pt-BR"/>
        </w:rPr>
        <w:t>er com a falha do medicamento.</w:t>
      </w:r>
    </w:p>
    <w:p w:rsidR="002C3A5A" w:rsidRDefault="002C3A5A" w:rsidP="002C3A5A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color w:val="000000"/>
          <w:lang w:eastAsia="pt-BR"/>
        </w:rPr>
      </w:pPr>
      <w:r w:rsidRPr="00BA3A15">
        <w:rPr>
          <w:rFonts w:ascii="Verdana" w:eastAsia="Times New Roman" w:hAnsi="Verdana" w:cs="Arial"/>
          <w:color w:val="000000"/>
          <w:lang w:eastAsia="pt-BR"/>
        </w:rPr>
        <w:t>Pelo exposto acima, solicito o apoio dos nobres pares ao presente projeto de lei.</w:t>
      </w:r>
    </w:p>
    <w:p w:rsidR="002C3A5A" w:rsidRDefault="002C3A5A" w:rsidP="002C3A5A">
      <w:pPr>
        <w:shd w:val="clear" w:color="auto" w:fill="FFFFFF"/>
        <w:spacing w:after="0" w:line="240" w:lineRule="auto"/>
        <w:ind w:firstLine="851"/>
        <w:jc w:val="both"/>
        <w:rPr>
          <w:rFonts w:ascii="Verdana" w:eastAsia="Times New Roman" w:hAnsi="Verdana" w:cs="Arial"/>
          <w:color w:val="000000"/>
          <w:lang w:eastAsia="pt-BR"/>
        </w:rPr>
      </w:pPr>
    </w:p>
    <w:p w:rsidR="002C3A5A" w:rsidRDefault="002C3A5A" w:rsidP="002C3A5A">
      <w:pPr>
        <w:shd w:val="clear" w:color="auto" w:fill="FFFFFF"/>
        <w:spacing w:after="167"/>
        <w:ind w:firstLine="851"/>
        <w:jc w:val="both"/>
        <w:rPr>
          <w:rFonts w:ascii="Verdana" w:hAnsi="Verdana" w:cs="Arial"/>
        </w:rPr>
      </w:pPr>
      <w:r w:rsidRPr="00E97F36">
        <w:rPr>
          <w:rFonts w:ascii="Verdana" w:hAnsi="Verdana" w:cs="Arial"/>
        </w:rPr>
        <w:t>Câmara</w:t>
      </w:r>
      <w:r>
        <w:rPr>
          <w:rFonts w:ascii="Verdana" w:hAnsi="Verdana" w:cs="Arial"/>
        </w:rPr>
        <w:t xml:space="preserve"> Municipal de Rolim de Moura, 14 de Novembro</w:t>
      </w:r>
      <w:r w:rsidRPr="00E97F36">
        <w:rPr>
          <w:rFonts w:ascii="Verdana" w:hAnsi="Verdana" w:cs="Arial"/>
        </w:rPr>
        <w:t xml:space="preserve"> de 2023.</w:t>
      </w:r>
    </w:p>
    <w:p w:rsidR="002C3A5A" w:rsidRDefault="002C3A5A" w:rsidP="002C3A5A">
      <w:pPr>
        <w:shd w:val="clear" w:color="auto" w:fill="FFFFFF"/>
        <w:spacing w:after="167"/>
        <w:ind w:firstLine="851"/>
        <w:jc w:val="center"/>
        <w:rPr>
          <w:rFonts w:ascii="Verdana" w:hAnsi="Verdana" w:cs="Arial"/>
          <w:b/>
          <w:bCs/>
        </w:rPr>
      </w:pPr>
      <w:r w:rsidRPr="00E97F36">
        <w:rPr>
          <w:rFonts w:ascii="Verdana" w:hAnsi="Verdana" w:cs="Arial"/>
        </w:rPr>
        <w:br/>
      </w:r>
      <w:r w:rsidRPr="00E97F36">
        <w:rPr>
          <w:rFonts w:ascii="Verdana" w:hAnsi="Verdana" w:cs="Arial"/>
          <w:b/>
          <w:bCs/>
        </w:rPr>
        <w:t>JULIANA APARECIDA NONATO</w:t>
      </w:r>
    </w:p>
    <w:p w:rsidR="002C3A5A" w:rsidRPr="00200BDC" w:rsidRDefault="002C3A5A" w:rsidP="002C3A5A">
      <w:pPr>
        <w:shd w:val="clear" w:color="auto" w:fill="FFFFFF"/>
        <w:spacing w:after="167"/>
        <w:ind w:firstLine="851"/>
        <w:jc w:val="center"/>
        <w:rPr>
          <w:rFonts w:ascii="Verdana" w:hAnsi="Verdana" w:cs="Arial"/>
        </w:rPr>
      </w:pPr>
      <w:r w:rsidRPr="00E97F36">
        <w:rPr>
          <w:rFonts w:ascii="Verdana" w:hAnsi="Verdana" w:cs="Arial"/>
          <w:bCs/>
        </w:rPr>
        <w:t>Vereadora – CMRM</w:t>
      </w: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C3A5A"/>
    <w:rsid w:val="001E6116"/>
    <w:rsid w:val="002C3A5A"/>
    <w:rsid w:val="00361BB5"/>
    <w:rsid w:val="006E6E22"/>
    <w:rsid w:val="007A07A7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5A"/>
  </w:style>
  <w:style w:type="paragraph" w:styleId="Ttulo1">
    <w:name w:val="heading 1"/>
    <w:basedOn w:val="Normal"/>
    <w:link w:val="Ttulo1Char"/>
    <w:uiPriority w:val="9"/>
    <w:qFormat/>
    <w:rsid w:val="002C3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C3A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3A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C3A5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dcterms:created xsi:type="dcterms:W3CDTF">2023-11-16T14:35:00Z</dcterms:created>
  <dcterms:modified xsi:type="dcterms:W3CDTF">2023-11-17T12:19:00Z</dcterms:modified>
</cp:coreProperties>
</file>